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Капитан Бахтин Ю. Г.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Кодекса торгового мореплавания (КТМ РФ) 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"СИНЕГОРСК"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021026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Очередное освидетельствование 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Согласно перечню ф. 6.4.7-1 № 121-212-08-343489 от --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 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5 150,00 p. (пять тысяч сто пятьдесят рублей 00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Ю. Г. Бахтин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