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Fonts w:ascii="Arial" w:hAnsi="Arial" w:cs="Arial"/>
          <w:rtl/>
        </w:rPr>
        <w:t>تقرير الأداء وملاحظات التفسير</w:t>
      </w:r>
    </w:p>
    <w:p>
      <w:pPr>
        <w:bidi/>
        <w:jc w:val="right"/>
      </w:pPr>
      <w:r>
        <w:rPr>
          <w:rFonts w:ascii="Arial" w:hAnsi="Arial" w:cs="Arial"/>
          <w:rtl/>
        </w:rPr>
        <w:t>هذا ملف تجريبي خيالي لمؤسسة النور للتجارة الإلكترونية، ويغطي بيانات تشغيلية لعام 2025.</w:t>
      </w:r>
    </w:p>
    <w:p>
      <w:pPr>
        <w:bidi/>
        <w:jc w:val="right"/>
      </w:pPr>
      <w:r>
        <w:rPr>
          <w:rFonts w:ascii="Arial" w:hAnsi="Arial" w:cs="Arial"/>
          <w:rtl/>
        </w:rPr>
        <w:t>الوحدات: الإيرادات والإنفاق التسويقي بآلاف الريالات السعودية؛ الطلبات والمرتجعات أعداد صحيحة.</w:t>
      </w:r>
    </w:p>
    <w:p>
      <w:pPr>
        <w:bidi/>
        <w:jc w:val="right"/>
      </w:pPr>
      <w:r>
        <w:rPr>
          <w:rFonts w:ascii="Arial" w:hAnsi="Arial" w:cs="Arial"/>
          <w:rtl/>
        </w:rPr>
        <w:t>الهدف السنوي للإيرادات هو 1,500 ألف ريال. عند مقارنة الإيرادات بالهدف، تُحسب نسبة التجاوز على الهدف: (الإيرادات الفعلية - الهدف) ÷ الهدف × 100.</w:t>
      </w:r>
    </w:p>
    <w:p>
      <w:pPr>
        <w:bidi/>
        <w:jc w:val="right"/>
      </w:pPr>
      <w:r>
        <w:rPr>
          <w:rFonts w:ascii="Arial" w:hAnsi="Arial" w:cs="Arial"/>
          <w:rtl/>
        </w:rPr>
        <w:t>معدل المرتجعات الوصفي = مجموع المرتجعات المسجلة ÷ مجموع الطلبات المسجلة × 100. يُنسب المرتجع إلى شهر تسجيله في البيانات، وقد لا يكون شهر تسجيله هو شهر الطلب؛ لذلك لا تمثل النسبة معدل إرجاع cohort للطلبات نفسها.</w:t>
      </w:r>
    </w:p>
    <w:p>
      <w:pPr>
        <w:bidi/>
        <w:jc w:val="right"/>
      </w:pPr>
      <w:r>
        <w:rPr>
          <w:rFonts w:ascii="Arial" w:hAnsi="Arial" w:cs="Arial"/>
          <w:rtl/>
        </w:rPr>
        <w:t>تزامن ارتفاع الإنفاق التسويقي مع ارتفاع الإيرادات لا يثبت علاقة سببية. لا تتضمن الملفات تجربة مضبوطة أو معلومات كافية عن العوامل الأخرى.</w:t>
      </w:r>
    </w:p>
    <w:p>
      <w:pPr>
        <w:bidi/>
        <w:jc w:val="right"/>
      </w:pPr>
      <w:r>
        <w:rPr>
          <w:rFonts w:ascii="Arial" w:hAnsi="Arial" w:cs="Arial"/>
          <w:rtl/>
        </w:rPr>
        <w:t>لا تتضمن الملفات تكاليف البضاعة أو الرواتب أو المصروفات التشغيلية؛ لذلك لا يمكن حساب صافي الربح أو هامش الربح.</w:t>
      </w:r>
    </w:p>
    <w:p>
      <w:pPr>
        <w:bidi/>
        <w:jc w:val="right"/>
      </w:pPr>
      <w:r>
        <w:rPr>
          <w:rFonts w:ascii="Arial" w:hAnsi="Arial" w:cs="Arial"/>
          <w:rtl/>
        </w:rPr>
        <w:t>جميع الأرقام خيالية أُنشئت للاختبار فقط، وليست بيانات مؤسسة حقيقية.</w:t>
      </w:r>
    </w:p>
    <w:p>
      <w:pPr>
        <w:pStyle w:val="Heading1"/>
      </w:pPr>
      <w:r>
        <w:t>ملخص الإيرادات ربع السنوية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الربع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إيرادات 2024 (ألف ريال)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إيرادات 2025 (ألف ريال)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الربع الأول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270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315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الربع الثاني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300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356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الربع الثالث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330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413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الربع الرابع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360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  <w:t>485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