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A0ABA" w14:textId="77777777" w:rsidR="000632E1" w:rsidRPr="004F27CA" w:rsidRDefault="000632E1" w:rsidP="000632E1">
      <w:pPr>
        <w:tabs>
          <w:tab w:val="left" w:pos="2338"/>
        </w:tabs>
        <w:jc w:val="center"/>
        <w:rPr>
          <w:rFonts w:ascii="Times New Roman" w:hAnsi="Times New Roman" w:cs="Times New Roman"/>
          <w:b/>
          <w:sz w:val="25"/>
          <w:szCs w:val="25"/>
        </w:rPr>
      </w:pPr>
      <w:bookmarkStart w:id="0" w:name="_Toc57621905"/>
      <w:bookmarkStart w:id="1" w:name="_Toc57630686"/>
      <w:bookmarkStart w:id="2" w:name="_Toc76127365"/>
      <w:r w:rsidRPr="004F27CA">
        <w:rPr>
          <w:rFonts w:ascii="Times New Roman" w:hAnsi="Times New Roman" w:cs="Times New Roman"/>
          <w:b/>
          <w:sz w:val="25"/>
          <w:szCs w:val="25"/>
        </w:rPr>
        <w:t>INTRODUCTION</w:t>
      </w:r>
      <w:bookmarkEnd w:id="0"/>
      <w:bookmarkEnd w:id="1"/>
      <w:bookmarkEnd w:id="2"/>
    </w:p>
    <w:p w14:paraId="376A3FB0" w14:textId="77777777" w:rsidR="000632E1" w:rsidRPr="004F27CA" w:rsidRDefault="000632E1" w:rsidP="000632E1">
      <w:pPr>
        <w:pStyle w:val="Heading2"/>
        <w:keepNext w:val="0"/>
        <w:keepLines w:val="0"/>
        <w:numPr>
          <w:ilvl w:val="1"/>
          <w:numId w:val="2"/>
        </w:numPr>
        <w:tabs>
          <w:tab w:val="num" w:pos="360"/>
        </w:tabs>
        <w:spacing w:before="100" w:beforeAutospacing="1" w:after="100" w:afterAutospacing="1" w:line="276" w:lineRule="auto"/>
        <w:ind w:left="567" w:hanging="567"/>
        <w:rPr>
          <w:rFonts w:cs="Times New Roman"/>
          <w:szCs w:val="25"/>
        </w:rPr>
      </w:pPr>
      <w:bookmarkStart w:id="3" w:name="_Toc73525228"/>
      <w:bookmarkStart w:id="4" w:name="_Toc73525395"/>
      <w:bookmarkStart w:id="5" w:name="_Toc73525464"/>
      <w:bookmarkStart w:id="6" w:name="_Toc76127366"/>
      <w:r w:rsidRPr="004F27CA">
        <w:rPr>
          <w:rFonts w:cs="Times New Roman"/>
          <w:szCs w:val="25"/>
        </w:rPr>
        <w:t>CONTEXTE ET JUSTIFICATION</w:t>
      </w:r>
      <w:bookmarkEnd w:id="3"/>
      <w:bookmarkEnd w:id="4"/>
      <w:bookmarkEnd w:id="5"/>
      <w:bookmarkEnd w:id="6"/>
    </w:p>
    <w:p w14:paraId="021A0CAC" w14:textId="17C5AE56" w:rsidR="000632E1" w:rsidRPr="004F27CA" w:rsidRDefault="000632E1" w:rsidP="000632E1">
      <w:pPr>
        <w:ind w:firstLine="1418"/>
        <w:jc w:val="both"/>
        <w:rPr>
          <w:rFonts w:ascii="Times New Roman" w:hAnsi="Times New Roman" w:cs="Times New Roman"/>
          <w:color w:val="000000" w:themeColor="text1"/>
          <w:sz w:val="25"/>
          <w:szCs w:val="25"/>
        </w:rPr>
      </w:pPr>
      <w:r w:rsidRPr="004F27CA">
        <w:rPr>
          <w:rFonts w:ascii="Times New Roman" w:hAnsi="Times New Roman" w:cs="Times New Roman"/>
          <w:color w:val="000000" w:themeColor="text1"/>
          <w:sz w:val="25"/>
          <w:szCs w:val="25"/>
        </w:rPr>
        <w:t>Mpox</w:t>
      </w:r>
      <w:r w:rsidR="00AB3F15">
        <w:rPr>
          <w:rFonts w:ascii="Times New Roman" w:hAnsi="Times New Roman" w:cs="Times New Roman"/>
          <w:color w:val="000000" w:themeColor="text1"/>
          <w:sz w:val="25"/>
          <w:szCs w:val="25"/>
        </w:rPr>
        <w:t xml:space="preserve"> </w:t>
      </w:r>
      <w:r w:rsidRPr="004F27CA">
        <w:rPr>
          <w:rFonts w:ascii="Times New Roman" w:hAnsi="Times New Roman" w:cs="Times New Roman"/>
          <w:color w:val="000000" w:themeColor="text1"/>
          <w:sz w:val="25"/>
          <w:szCs w:val="25"/>
        </w:rPr>
        <w:t xml:space="preserve">est une fièvre éruptive, rare d’origine animale causé par l’orthopoxvirus qui se caractérise par des symptômes grippaux suivi d’éruptions cutanées de la famille de Poxyviridae. Virus du même nom qui comprend 2 principaux clades, le I et II avec chacune deux sous clade, les Ia, Ib, IIa et IIb. Ces manifestations cliniques associent des signes généraux et une diversité des manifestations cutanéo-muqueuses commun à plusieurs viroses. En mai 2022, plusieurs foyers épidémiques furent rapportés à travers le monde causant plusieurs décès, cinquante ans après la première description clinique faites chez un enfant de 9 mois qui présentait un exanthème fébrile varioliforme généralisé. Au cours de ces flambées, des nouvelles présentations cliniques furent décrites en dehors de régions endémiques avec prédominance des manifestations anogénitale, causé par un nouveau clade II b qui se transmettait par voie sexuelle chez les hommes ayant les rapports sexuels avec les autres hommes. Alors, qu’en régions endémiques une augmentation progressive des cas étaient notifié suite a l’arrêt de la vaccination contre la variole en 1979 jusqu’en 2022 où une hausse des cas et une urbanisation étaient rapporté avec des nouvelles manifestions cliniques posant un énorme défi sur le plan diagnostic. </w:t>
      </w:r>
    </w:p>
    <w:p w14:paraId="3C64CBC5" w14:textId="77777777" w:rsidR="000632E1" w:rsidRPr="004F27CA" w:rsidRDefault="000632E1" w:rsidP="000632E1">
      <w:pPr>
        <w:ind w:firstLine="1418"/>
        <w:jc w:val="both"/>
        <w:rPr>
          <w:rFonts w:ascii="Times New Roman" w:hAnsi="Times New Roman" w:cs="Times New Roman"/>
          <w:color w:val="000000" w:themeColor="text1"/>
          <w:sz w:val="25"/>
          <w:szCs w:val="25"/>
        </w:rPr>
      </w:pPr>
      <w:r w:rsidRPr="004F27CA">
        <w:rPr>
          <w:rFonts w:ascii="Times New Roman" w:hAnsi="Times New Roman" w:cs="Times New Roman"/>
          <w:color w:val="000000" w:themeColor="text1"/>
          <w:sz w:val="25"/>
          <w:szCs w:val="25"/>
        </w:rPr>
        <w:t xml:space="preserve">Les manifestations cliniques du Mpox sont diverses et ont substantiellement évoluées ses dernières années. Elles peuvent parfois portées confusions avec d’autres viroses, varicelle, herpes, zona. Elles apparaissent généralement après une période d’incubation de 3 à 21 jours selon les clades et comprennent les symptômes généraux fait de fièvre, des courbatures, des céphalées, de toux, d’anorexie, de dysphagie et des Lymphadénopathies dont l’intensité est variable, souvent satellites au point d’inoculation. Les lésions cutanéo-muqueuses succèdent souvent cette première phase et selon une évolution temporo- spatiale indépendant du clade incriminé. Dans le temps, ces lésions évoluaient classiquement selon une progression ordonnée, allant de macules érythémateuses subtiles à des papules, puis à des vésicules et enfin à des pustules profondes en forme de dôme durant près de 3 à 4 semaines vers une guérison. Certaines d’entre elles   développent une dépression centrale (lésions ombiliquées ou en cible), suivie de la formation de croûtes qui sèchent, chutent et enfin desquament laissant des lésions cicatricielles. Tandis que la progression dans l’espace se traduit par un ensemble des lésions à des stades d’évolution similaires sur un site anatomique ou pas évoluant généralement d’une manière synchrone ou rarement asynchrone, avec une densité plus élevée sur la tête et les extrémités, Une densité plus faible sur les zones centrales du corps (distribution centrifuge). Cependant, le contexte historique actuelle à montrer des changements profonds par rapport aux manifestations cliniques antérieures décrites en Afrique. Par ailleurs, ces modifications ont été révéler au cours des récentes flambées à travers le monde. Elles traduiraient l’adaptation du virus a ces nouveaux hôtes favoriserait l’émergence du nouveau clade. Dans le milieu non endémique, en Europe et aux USA, les nouvelles formes cliniques </w:t>
      </w:r>
      <w:r w:rsidRPr="004F27CA">
        <w:rPr>
          <w:rFonts w:ascii="Times New Roman" w:hAnsi="Times New Roman" w:cs="Times New Roman"/>
          <w:color w:val="000000" w:themeColor="text1"/>
          <w:sz w:val="25"/>
          <w:szCs w:val="25"/>
        </w:rPr>
        <w:lastRenderedPageBreak/>
        <w:t xml:space="preserve">étaient caractérisées par des lésions atypiques marquées par les manifestations localisées prédominant dans les régions ano-génitales, et orales d’évolutions souvent asynchrone. </w:t>
      </w:r>
    </w:p>
    <w:p w14:paraId="01EA21A2" w14:textId="77777777" w:rsidR="000632E1" w:rsidRPr="004F27CA" w:rsidRDefault="000632E1" w:rsidP="000632E1">
      <w:pPr>
        <w:ind w:firstLine="1418"/>
        <w:jc w:val="both"/>
        <w:rPr>
          <w:rFonts w:ascii="Times New Roman" w:hAnsi="Times New Roman" w:cs="Times New Roman"/>
          <w:color w:val="000000" w:themeColor="text1"/>
          <w:sz w:val="25"/>
          <w:szCs w:val="25"/>
        </w:rPr>
      </w:pPr>
      <w:r w:rsidRPr="004F27CA">
        <w:rPr>
          <w:rFonts w:ascii="Times New Roman" w:hAnsi="Times New Roman" w:cs="Times New Roman"/>
          <w:color w:val="000000" w:themeColor="text1"/>
          <w:sz w:val="25"/>
          <w:szCs w:val="25"/>
        </w:rPr>
        <w:t xml:space="preserve">Cependant, en Afrique étaient rapporté dans la même période, des symptômes prodromiques variable, survenant avant, pendant ou après l’apparition des lésions ; ces dernières étaient dominées par les atteintes généralisées et localisées aux muqueuses ano-génitales. Sur le plan épidémiologique on a constaté un changement de mode de transmission. En effet, antérieurement, le Mpox intéressait principalement les enfants de moins de 15 ans et les femmes et se transmettait de l’animal a l’homme et secondairement par contact interhumain au sein des ménages). Suite au changement décrit depuis 2022 marquée la propagations les régions rurales d’Afrique pour en suites étendre dans les régions péri – urbaines et urbaines. Les premières épidémies urbaines ont été décrite au Nigeria.  Elles étaient caractérisées par le changement profond sur le plan virologique, épidémiologique et clinique marquant les premières descriptions de transmission interhumaine en dehors des ménages, des manifestations dans les régions génitales a des proportions élevées. Celles –ci traduisaient la transmission interhumaine par voie sexuelle qui jusque-là n’était pas encore décrite. Les études virologiques rapportaient un nouveau clade différent du II a qui avait des similitudes sur le plan génomique au clade IIb.    </w:t>
      </w:r>
    </w:p>
    <w:p w14:paraId="0E18FEE6" w14:textId="77777777" w:rsidR="000632E1" w:rsidRPr="004F27CA" w:rsidRDefault="000632E1" w:rsidP="000632E1">
      <w:pPr>
        <w:ind w:firstLine="1418"/>
        <w:jc w:val="both"/>
        <w:rPr>
          <w:rFonts w:ascii="Times New Roman" w:hAnsi="Times New Roman" w:cs="Times New Roman"/>
          <w:color w:val="000000" w:themeColor="text1"/>
          <w:sz w:val="25"/>
          <w:szCs w:val="25"/>
        </w:rPr>
      </w:pPr>
      <w:r w:rsidRPr="004F27CA">
        <w:rPr>
          <w:rFonts w:ascii="Times New Roman" w:hAnsi="Times New Roman" w:cs="Times New Roman"/>
          <w:color w:val="000000" w:themeColor="text1"/>
          <w:sz w:val="25"/>
          <w:szCs w:val="25"/>
        </w:rPr>
        <w:t>En République démocratique du Congo, suite à la recrudescence des cas en Août 2024, le Mpox avait été déclaré « urgence de santé publique de portée internationale » par l'OMS en avec circulation deux formes du virus (Clade 1 et Clade 1b), affectant particulièrement les enfants et les populations clés. C’est ainsi des efforts de riposte ont été intensifiés, incluant la recherche active des cas aussi bien dans la population générale et les populations clés.</w:t>
      </w:r>
    </w:p>
    <w:p w14:paraId="6FF77620" w14:textId="77777777" w:rsidR="000632E1" w:rsidRPr="004F27CA" w:rsidRDefault="000632E1" w:rsidP="000632E1">
      <w:pPr>
        <w:ind w:firstLine="1418"/>
        <w:jc w:val="both"/>
        <w:rPr>
          <w:rFonts w:ascii="Times New Roman" w:hAnsi="Times New Roman" w:cs="Times New Roman"/>
          <w:color w:val="000000" w:themeColor="text1"/>
          <w:sz w:val="25"/>
          <w:szCs w:val="25"/>
        </w:rPr>
      </w:pPr>
      <w:r w:rsidRPr="004F27CA">
        <w:rPr>
          <w:rFonts w:ascii="Times New Roman" w:hAnsi="Times New Roman" w:cs="Times New Roman"/>
          <w:color w:val="000000" w:themeColor="text1"/>
          <w:sz w:val="25"/>
          <w:szCs w:val="25"/>
        </w:rPr>
        <w:t>Cette dernière population vulnérable, avec un accès limité aux soins et constamment exposée à des pratiques sexuelles à risque. C’est ainsi qu’au cours de ces investigations o différentes manifestations de Mpox ont été rapporté. C’est ainsi qu’une étude préliminaire avait été instauré afin de réduire la confusion entre la Mpox et plusieurs autres infections, nous avons entrepris de décrire les principales caractéristiques cliniques et virologiques des lésions cutanéo-muqueuses Mpox à Kinshasa, en RDC. Ceci pourra nous aider à avoir des indices précieux pour le diagnostic précoce de ces infections.</w:t>
      </w:r>
    </w:p>
    <w:p w14:paraId="037B9FCA" w14:textId="77777777" w:rsidR="000632E1" w:rsidRPr="004F27CA" w:rsidRDefault="000632E1" w:rsidP="000632E1">
      <w:pPr>
        <w:pStyle w:val="Heading2"/>
        <w:keepNext w:val="0"/>
        <w:keepLines w:val="0"/>
        <w:numPr>
          <w:ilvl w:val="1"/>
          <w:numId w:val="2"/>
        </w:numPr>
        <w:tabs>
          <w:tab w:val="num" w:pos="360"/>
        </w:tabs>
        <w:spacing w:before="100" w:beforeAutospacing="1" w:after="0" w:line="276" w:lineRule="auto"/>
        <w:ind w:left="567" w:hanging="567"/>
        <w:rPr>
          <w:rFonts w:cs="Times New Roman"/>
          <w:szCs w:val="25"/>
        </w:rPr>
      </w:pPr>
      <w:bookmarkStart w:id="7" w:name="_Toc73525230"/>
      <w:bookmarkStart w:id="8" w:name="_Toc73525397"/>
      <w:bookmarkStart w:id="9" w:name="_Toc73525466"/>
      <w:bookmarkStart w:id="10" w:name="_Toc76127367"/>
      <w:r w:rsidRPr="004F27CA">
        <w:rPr>
          <w:rFonts w:cs="Times New Roman"/>
          <w:szCs w:val="25"/>
        </w:rPr>
        <w:t>Question de recherche</w:t>
      </w:r>
      <w:bookmarkEnd w:id="7"/>
      <w:bookmarkEnd w:id="8"/>
      <w:bookmarkEnd w:id="9"/>
      <w:bookmarkEnd w:id="10"/>
    </w:p>
    <w:p w14:paraId="38ADCD18" w14:textId="77777777" w:rsidR="000632E1" w:rsidRPr="004F27CA" w:rsidRDefault="000632E1" w:rsidP="000632E1">
      <w:pPr>
        <w:pStyle w:val="ListParagraph"/>
        <w:numPr>
          <w:ilvl w:val="0"/>
          <w:numId w:val="1"/>
        </w:numPr>
        <w:jc w:val="both"/>
        <w:rPr>
          <w:rFonts w:ascii="Times New Roman" w:hAnsi="Times New Roman" w:cs="Times New Roman"/>
          <w:sz w:val="25"/>
          <w:szCs w:val="25"/>
        </w:rPr>
      </w:pPr>
      <w:r w:rsidRPr="004F27CA">
        <w:rPr>
          <w:rFonts w:ascii="Times New Roman" w:hAnsi="Times New Roman" w:cs="Times New Roman"/>
          <w:sz w:val="25"/>
          <w:szCs w:val="25"/>
        </w:rPr>
        <w:t>Quels sont les caractéristiques cutanéo-muqueuses du Mpox au cours de la flambée d’Aout 2025 à Kinshasa.</w:t>
      </w:r>
    </w:p>
    <w:p w14:paraId="7EA1DAD8" w14:textId="77777777" w:rsidR="000632E1" w:rsidRPr="004F27CA" w:rsidRDefault="000632E1" w:rsidP="000632E1">
      <w:pPr>
        <w:pStyle w:val="ListParagraph"/>
        <w:numPr>
          <w:ilvl w:val="0"/>
          <w:numId w:val="1"/>
        </w:numPr>
        <w:jc w:val="both"/>
        <w:rPr>
          <w:rFonts w:ascii="Times New Roman" w:hAnsi="Times New Roman" w:cs="Times New Roman"/>
          <w:sz w:val="25"/>
          <w:szCs w:val="25"/>
        </w:rPr>
      </w:pPr>
      <w:r w:rsidRPr="004F27CA">
        <w:rPr>
          <w:rFonts w:ascii="Times New Roman" w:hAnsi="Times New Roman" w:cs="Times New Roman"/>
          <w:sz w:val="25"/>
          <w:szCs w:val="25"/>
        </w:rPr>
        <w:t>Quels sont les types des manifestations cutanéo-muqueuses de Mpox au cours d’Aout 2025 à Kinshasa ?</w:t>
      </w:r>
    </w:p>
    <w:p w14:paraId="22559B76" w14:textId="77777777" w:rsidR="000632E1" w:rsidRPr="004F27CA" w:rsidRDefault="000632E1" w:rsidP="000632E1">
      <w:pPr>
        <w:pStyle w:val="Heading2"/>
        <w:keepNext w:val="0"/>
        <w:keepLines w:val="0"/>
        <w:numPr>
          <w:ilvl w:val="1"/>
          <w:numId w:val="2"/>
        </w:numPr>
        <w:tabs>
          <w:tab w:val="num" w:pos="360"/>
        </w:tabs>
        <w:spacing w:before="100" w:beforeAutospacing="1" w:after="0" w:line="276" w:lineRule="auto"/>
        <w:ind w:left="567" w:hanging="567"/>
        <w:rPr>
          <w:rFonts w:cs="Times New Roman"/>
          <w:szCs w:val="25"/>
        </w:rPr>
      </w:pPr>
      <w:bookmarkStart w:id="11" w:name="_Toc73525232"/>
      <w:bookmarkStart w:id="12" w:name="_Toc73525399"/>
      <w:bookmarkStart w:id="13" w:name="_Toc73525468"/>
      <w:bookmarkStart w:id="14" w:name="_Toc76127369"/>
      <w:r w:rsidRPr="004F27CA">
        <w:rPr>
          <w:rFonts w:cs="Times New Roman"/>
          <w:szCs w:val="25"/>
        </w:rPr>
        <w:t>Objectif général</w:t>
      </w:r>
      <w:bookmarkEnd w:id="11"/>
      <w:bookmarkEnd w:id="12"/>
      <w:bookmarkEnd w:id="13"/>
      <w:bookmarkEnd w:id="14"/>
    </w:p>
    <w:p w14:paraId="4939D59C" w14:textId="1F8BD47A"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Améliorer nos connaissances sur la dynamique des changements cliniques observés dans les deux clades au cour</w:t>
      </w:r>
      <w:r w:rsidR="00470320">
        <w:rPr>
          <w:rFonts w:ascii="Times New Roman" w:hAnsi="Times New Roman" w:cs="Times New Roman"/>
          <w:sz w:val="25"/>
          <w:szCs w:val="25"/>
        </w:rPr>
        <w:t>s</w:t>
      </w:r>
      <w:r w:rsidRPr="004F27CA">
        <w:rPr>
          <w:rFonts w:ascii="Times New Roman" w:hAnsi="Times New Roman" w:cs="Times New Roman"/>
          <w:sz w:val="25"/>
          <w:szCs w:val="25"/>
        </w:rPr>
        <w:t xml:space="preserve"> de dernières flambées du Mpox à Kinshasa  </w:t>
      </w:r>
    </w:p>
    <w:p w14:paraId="4AC4900C" w14:textId="77777777" w:rsidR="000632E1" w:rsidRPr="004F27CA" w:rsidRDefault="000632E1" w:rsidP="000632E1">
      <w:pPr>
        <w:pStyle w:val="Heading3"/>
        <w:numPr>
          <w:ilvl w:val="2"/>
          <w:numId w:val="2"/>
        </w:numPr>
        <w:tabs>
          <w:tab w:val="num" w:pos="360"/>
        </w:tabs>
        <w:spacing w:before="0" w:after="0" w:line="276" w:lineRule="auto"/>
        <w:ind w:left="0" w:firstLine="0"/>
        <w:rPr>
          <w:rFonts w:cs="Times New Roman"/>
          <w:sz w:val="25"/>
          <w:szCs w:val="25"/>
        </w:rPr>
      </w:pPr>
      <w:r w:rsidRPr="004F27CA">
        <w:rPr>
          <w:rFonts w:cs="Times New Roman"/>
          <w:sz w:val="25"/>
          <w:szCs w:val="25"/>
        </w:rPr>
        <w:lastRenderedPageBreak/>
        <w:t>Objectifs spécifiques</w:t>
      </w:r>
    </w:p>
    <w:p w14:paraId="71D6F60C" w14:textId="77777777" w:rsidR="000632E1" w:rsidRPr="004F27CA" w:rsidRDefault="000632E1" w:rsidP="000632E1">
      <w:pPr>
        <w:pStyle w:val="ListParagraph"/>
        <w:numPr>
          <w:ilvl w:val="0"/>
          <w:numId w:val="1"/>
        </w:numPr>
        <w:jc w:val="both"/>
        <w:rPr>
          <w:rFonts w:ascii="Times New Roman" w:hAnsi="Times New Roman" w:cs="Times New Roman"/>
          <w:sz w:val="25"/>
          <w:szCs w:val="25"/>
        </w:rPr>
      </w:pPr>
      <w:r w:rsidRPr="004F27CA">
        <w:rPr>
          <w:rFonts w:ascii="Times New Roman" w:hAnsi="Times New Roman" w:cs="Times New Roman"/>
          <w:sz w:val="25"/>
          <w:szCs w:val="25"/>
        </w:rPr>
        <w:t>Décrire les caractéristiques cutaneo-muqueuses du Mpox,</w:t>
      </w:r>
    </w:p>
    <w:p w14:paraId="0DD965AE" w14:textId="469D5506" w:rsidR="00686720"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Relever les principales caractéristiques cutaneo-muqueuses dans chaque clade.</w:t>
      </w:r>
    </w:p>
    <w:p w14:paraId="1CD3AA16" w14:textId="7F30DED6" w:rsidR="000632E1" w:rsidRDefault="000632E1" w:rsidP="000632E1">
      <w:pPr>
        <w:rPr>
          <w:rFonts w:ascii="Times New Roman" w:hAnsi="Times New Roman" w:cs="Times New Roman"/>
          <w:sz w:val="25"/>
          <w:szCs w:val="25"/>
        </w:rPr>
      </w:pPr>
    </w:p>
    <w:p w14:paraId="0DE6BBE7" w14:textId="77777777" w:rsidR="00513B9B" w:rsidRDefault="00513B9B">
      <w:pPr>
        <w:spacing w:after="160" w:line="259" w:lineRule="auto"/>
        <w:rPr>
          <w:rFonts w:ascii="Times New Roman" w:hAnsi="Times New Roman" w:cs="Times New Roman"/>
          <w:b/>
          <w:sz w:val="25"/>
          <w:szCs w:val="25"/>
        </w:rPr>
      </w:pPr>
      <w:r>
        <w:rPr>
          <w:rFonts w:ascii="Times New Roman" w:hAnsi="Times New Roman" w:cs="Times New Roman"/>
          <w:b/>
          <w:sz w:val="25"/>
          <w:szCs w:val="25"/>
        </w:rPr>
        <w:br w:type="page"/>
      </w:r>
    </w:p>
    <w:p w14:paraId="3E4C3162" w14:textId="5C24E15E" w:rsidR="000632E1" w:rsidRPr="004F27CA" w:rsidRDefault="000632E1" w:rsidP="000632E1">
      <w:pPr>
        <w:jc w:val="center"/>
        <w:outlineLvl w:val="0"/>
        <w:rPr>
          <w:rFonts w:ascii="Times New Roman" w:hAnsi="Times New Roman" w:cs="Times New Roman"/>
          <w:b/>
          <w:sz w:val="25"/>
          <w:szCs w:val="25"/>
        </w:rPr>
      </w:pPr>
      <w:r w:rsidRPr="004F27CA">
        <w:rPr>
          <w:rFonts w:ascii="Times New Roman" w:hAnsi="Times New Roman" w:cs="Times New Roman"/>
          <w:b/>
          <w:sz w:val="25"/>
          <w:szCs w:val="25"/>
        </w:rPr>
        <w:lastRenderedPageBreak/>
        <w:t>CHAPITRE II : METHODES</w:t>
      </w:r>
    </w:p>
    <w:p w14:paraId="0C0F522C" w14:textId="6788679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 xml:space="preserve"> Cadre,</w:t>
      </w:r>
      <w:r w:rsidR="005B60F7">
        <w:rPr>
          <w:rFonts w:cs="Times New Roman"/>
          <w:szCs w:val="25"/>
        </w:rPr>
        <w:t xml:space="preserve"> </w:t>
      </w:r>
      <w:r w:rsidR="00931985">
        <w:rPr>
          <w:rFonts w:cs="Times New Roman"/>
          <w:szCs w:val="25"/>
        </w:rPr>
        <w:t>t</w:t>
      </w:r>
      <w:r w:rsidRPr="004F27CA">
        <w:rPr>
          <w:rFonts w:cs="Times New Roman"/>
          <w:szCs w:val="25"/>
        </w:rPr>
        <w:t xml:space="preserve">ypes, </w:t>
      </w:r>
      <w:r w:rsidR="00931985">
        <w:rPr>
          <w:rFonts w:cs="Times New Roman"/>
          <w:szCs w:val="25"/>
        </w:rPr>
        <w:t>s</w:t>
      </w:r>
      <w:r w:rsidRPr="004F27CA">
        <w:rPr>
          <w:rFonts w:cs="Times New Roman"/>
          <w:szCs w:val="25"/>
        </w:rPr>
        <w:t>ites et</w:t>
      </w:r>
      <w:r w:rsidR="00261ACA">
        <w:rPr>
          <w:rFonts w:cs="Times New Roman"/>
          <w:szCs w:val="25"/>
        </w:rPr>
        <w:t xml:space="preserve"> </w:t>
      </w:r>
      <w:r w:rsidR="00931985">
        <w:rPr>
          <w:rFonts w:cs="Times New Roman"/>
          <w:szCs w:val="25"/>
        </w:rPr>
        <w:t>p</w:t>
      </w:r>
      <w:r w:rsidRPr="004F27CA">
        <w:rPr>
          <w:rFonts w:cs="Times New Roman"/>
          <w:szCs w:val="25"/>
        </w:rPr>
        <w:t>ériode d’étude</w:t>
      </w:r>
    </w:p>
    <w:p w14:paraId="465244D4" w14:textId="7E157CD8" w:rsidR="000632E1" w:rsidRPr="004F27CA" w:rsidRDefault="000632E1" w:rsidP="000632E1">
      <w:pPr>
        <w:rPr>
          <w:rFonts w:ascii="Times New Roman" w:hAnsi="Times New Roman" w:cs="Times New Roman"/>
          <w:sz w:val="25"/>
          <w:szCs w:val="25"/>
          <w:lang w:eastAsia="en-US"/>
        </w:rPr>
      </w:pPr>
      <w:r w:rsidRPr="004F27CA">
        <w:rPr>
          <w:rFonts w:ascii="Times New Roman" w:hAnsi="Times New Roman" w:cs="Times New Roman"/>
          <w:sz w:val="25"/>
          <w:szCs w:val="25"/>
          <w:lang w:eastAsia="en-US"/>
        </w:rPr>
        <w:t>La</w:t>
      </w:r>
      <w:r w:rsidR="00972CC9">
        <w:rPr>
          <w:rFonts w:ascii="Times New Roman" w:hAnsi="Times New Roman" w:cs="Times New Roman"/>
          <w:sz w:val="25"/>
          <w:szCs w:val="25"/>
          <w:lang w:eastAsia="en-US"/>
        </w:rPr>
        <w:t xml:space="preserve"> </w:t>
      </w:r>
      <w:r w:rsidRPr="004F27CA">
        <w:rPr>
          <w:rFonts w:ascii="Times New Roman" w:hAnsi="Times New Roman" w:cs="Times New Roman"/>
          <w:sz w:val="25"/>
          <w:szCs w:val="25"/>
          <w:lang w:eastAsia="en-US"/>
        </w:rPr>
        <w:t>présente étude s’inscrit dans le cadre de la collaboration entre le service de</w:t>
      </w:r>
      <w:r w:rsidR="00F470CC">
        <w:rPr>
          <w:rFonts w:ascii="Times New Roman" w:hAnsi="Times New Roman" w:cs="Times New Roman"/>
          <w:sz w:val="25"/>
          <w:szCs w:val="25"/>
          <w:lang w:eastAsia="en-US"/>
        </w:rPr>
        <w:t xml:space="preserve"> </w:t>
      </w:r>
      <w:r w:rsidRPr="004F27CA">
        <w:rPr>
          <w:rFonts w:ascii="Times New Roman" w:hAnsi="Times New Roman" w:cs="Times New Roman"/>
          <w:sz w:val="25"/>
          <w:szCs w:val="25"/>
          <w:lang w:eastAsia="en-US"/>
        </w:rPr>
        <w:t xml:space="preserve">dermatologie et de microbiologie de cliniques universitaires de </w:t>
      </w:r>
      <w:r w:rsidR="00940FED" w:rsidRPr="004F27CA">
        <w:rPr>
          <w:rFonts w:ascii="Times New Roman" w:hAnsi="Times New Roman" w:cs="Times New Roman"/>
          <w:sz w:val="25"/>
          <w:szCs w:val="25"/>
          <w:lang w:eastAsia="en-US"/>
        </w:rPr>
        <w:t>Kinshasa</w:t>
      </w:r>
      <w:r w:rsidRPr="004F27CA">
        <w:rPr>
          <w:rFonts w:ascii="Times New Roman" w:hAnsi="Times New Roman" w:cs="Times New Roman"/>
          <w:sz w:val="25"/>
          <w:szCs w:val="25"/>
          <w:lang w:eastAsia="en-US"/>
        </w:rPr>
        <w:t>, institut national de recherche biomédicale (INRB) et d’autres et</w:t>
      </w:r>
      <w:r w:rsidR="00A60A25">
        <w:rPr>
          <w:rFonts w:ascii="Times New Roman" w:hAnsi="Times New Roman" w:cs="Times New Roman"/>
          <w:sz w:val="25"/>
          <w:szCs w:val="25"/>
          <w:lang w:eastAsia="en-US"/>
        </w:rPr>
        <w:t>c.</w:t>
      </w:r>
    </w:p>
    <w:p w14:paraId="42580ACF" w14:textId="77777777" w:rsidR="002B53D3"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Il s’agit d’une série des cas menées dans le cadre de la surveillance des maladies a potentiels épidémiques, notamment le Mpox, en République Démocratique du Congo dans la ville de Kinshasa</w:t>
      </w:r>
      <w:r w:rsidR="003174DD">
        <w:rPr>
          <w:rFonts w:ascii="Times New Roman" w:hAnsi="Times New Roman" w:cs="Times New Roman"/>
          <w:sz w:val="25"/>
          <w:szCs w:val="25"/>
        </w:rPr>
        <w:t xml:space="preserve"> </w:t>
      </w:r>
      <w:r w:rsidRPr="004F27CA">
        <w:rPr>
          <w:rFonts w:ascii="Times New Roman" w:hAnsi="Times New Roman" w:cs="Times New Roman"/>
          <w:sz w:val="25"/>
          <w:szCs w:val="25"/>
        </w:rPr>
        <w:t xml:space="preserve">la capitale. </w:t>
      </w:r>
    </w:p>
    <w:p w14:paraId="5D27583F" w14:textId="4A34B7CF"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L’étude s’est déroulée sur une période allant du 01</w:t>
      </w:r>
      <w:r w:rsidR="00607A48">
        <w:rPr>
          <w:rFonts w:ascii="Times New Roman" w:hAnsi="Times New Roman" w:cs="Times New Roman"/>
          <w:sz w:val="25"/>
          <w:szCs w:val="25"/>
        </w:rPr>
        <w:t xml:space="preserve"> </w:t>
      </w:r>
      <w:r w:rsidRPr="004F27CA">
        <w:rPr>
          <w:rFonts w:ascii="Times New Roman" w:hAnsi="Times New Roman" w:cs="Times New Roman"/>
          <w:sz w:val="25"/>
          <w:szCs w:val="25"/>
        </w:rPr>
        <w:t xml:space="preserve">juillet au 30 </w:t>
      </w:r>
      <w:r w:rsidR="00135A3F" w:rsidRPr="004F27CA">
        <w:rPr>
          <w:rFonts w:ascii="Times New Roman" w:hAnsi="Times New Roman" w:cs="Times New Roman"/>
          <w:sz w:val="25"/>
          <w:szCs w:val="25"/>
        </w:rPr>
        <w:t>aout 2024</w:t>
      </w:r>
      <w:r w:rsidRPr="004F27CA">
        <w:rPr>
          <w:rFonts w:ascii="Times New Roman" w:hAnsi="Times New Roman" w:cs="Times New Roman"/>
          <w:sz w:val="25"/>
          <w:szCs w:val="25"/>
        </w:rPr>
        <w:t xml:space="preserve">.  </w:t>
      </w:r>
    </w:p>
    <w:p w14:paraId="497163EB"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Sites d’étude </w:t>
      </w:r>
    </w:p>
    <w:p w14:paraId="1E1311F4" w14:textId="77777777"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Dans les zones de santé qui avaient notifié les cas dont les alertes nous étaient parvenu  Il s’agit : des aires de santé soit au niveau communautaire ( ménage) , soit au niveau des structures sanitaires (hôpitaux : cliniques universitaires de Kinshasa)  et au cours des enquêtes de terrain,  dans les populations clés au niveau de leurs centre conviviaux et différents sites de recrutement à travers la ville .</w:t>
      </w:r>
    </w:p>
    <w:p w14:paraId="5CA4807A" w14:textId="77777777"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 xml:space="preserve"> 2 .3     Population d’étude </w:t>
      </w:r>
    </w:p>
    <w:p w14:paraId="2DE1A30F" w14:textId="77777777"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 xml:space="preserve">L’étude a concernée la population générale ,  les professionnelles des sexes  et  les hommes qui avaient des rapports sexuels avec les autres hommes  présentant des signes cliniques suspect du Mpox . </w:t>
      </w:r>
    </w:p>
    <w:p w14:paraId="44394F04"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 xml:space="preserve">Critères d’inclusion </w:t>
      </w:r>
    </w:p>
    <w:p w14:paraId="65991AC0" w14:textId="77777777" w:rsidR="000632E1" w:rsidRPr="004F27CA" w:rsidRDefault="000632E1" w:rsidP="000632E1">
      <w:pPr>
        <w:pStyle w:val="ListParagraph"/>
        <w:numPr>
          <w:ilvl w:val="0"/>
          <w:numId w:val="4"/>
        </w:numPr>
        <w:rPr>
          <w:rFonts w:ascii="Times New Roman" w:hAnsi="Times New Roman" w:cs="Times New Roman"/>
          <w:sz w:val="25"/>
          <w:szCs w:val="25"/>
        </w:rPr>
      </w:pPr>
      <w:r w:rsidRPr="004F27CA">
        <w:rPr>
          <w:rFonts w:ascii="Times New Roman" w:hAnsi="Times New Roman" w:cs="Times New Roman"/>
          <w:sz w:val="25"/>
          <w:szCs w:val="25"/>
        </w:rPr>
        <w:t xml:space="preserve">Toute personne cas suspect présentant  au moment de l’étude une fièvre de survenue brutale. </w:t>
      </w:r>
    </w:p>
    <w:p w14:paraId="3DA430D6" w14:textId="77777777" w:rsidR="000632E1" w:rsidRPr="004F27CA" w:rsidRDefault="000632E1" w:rsidP="000632E1">
      <w:pPr>
        <w:pStyle w:val="ListParagraph"/>
        <w:numPr>
          <w:ilvl w:val="0"/>
          <w:numId w:val="4"/>
        </w:numPr>
        <w:rPr>
          <w:rFonts w:ascii="Times New Roman" w:hAnsi="Times New Roman" w:cs="Times New Roman"/>
          <w:sz w:val="25"/>
          <w:szCs w:val="25"/>
        </w:rPr>
      </w:pPr>
      <w:r w:rsidRPr="004F27CA">
        <w:rPr>
          <w:rFonts w:ascii="Times New Roman" w:hAnsi="Times New Roman" w:cs="Times New Roman"/>
          <w:sz w:val="25"/>
          <w:szCs w:val="25"/>
        </w:rPr>
        <w:t xml:space="preserve">Toute personne qui a accepté de participer a l’étude en signant un consentement éclairé incluant l’acceptation des prélevements des lesions cutanées et biologique  </w:t>
      </w:r>
    </w:p>
    <w:p w14:paraId="5EF24999" w14:textId="77777777" w:rsidR="000632E1" w:rsidRPr="004F27CA" w:rsidRDefault="000632E1" w:rsidP="000632E1">
      <w:pPr>
        <w:pStyle w:val="ListParagraph"/>
        <w:numPr>
          <w:ilvl w:val="0"/>
          <w:numId w:val="4"/>
        </w:numPr>
        <w:rPr>
          <w:rFonts w:ascii="Times New Roman" w:hAnsi="Times New Roman" w:cs="Times New Roman"/>
          <w:sz w:val="25"/>
          <w:szCs w:val="25"/>
        </w:rPr>
      </w:pPr>
      <w:r w:rsidRPr="004F27CA">
        <w:rPr>
          <w:rFonts w:ascii="Times New Roman" w:hAnsi="Times New Roman" w:cs="Times New Roman"/>
          <w:sz w:val="25"/>
          <w:szCs w:val="25"/>
        </w:rPr>
        <w:t>Toute personne cas suspect présentant une ou plusieurs lésions cutanées chez qui la sérologie spécifique et/ou la PCR est revenue positive au Mpox.</w:t>
      </w:r>
    </w:p>
    <w:p w14:paraId="0FFE53D8" w14:textId="77777777" w:rsidR="000632E1" w:rsidRPr="004F27CA" w:rsidRDefault="000632E1" w:rsidP="000632E1">
      <w:pPr>
        <w:pStyle w:val="ListParagraph"/>
        <w:numPr>
          <w:ilvl w:val="0"/>
          <w:numId w:val="4"/>
        </w:numPr>
        <w:rPr>
          <w:rFonts w:ascii="Times New Roman" w:hAnsi="Times New Roman" w:cs="Times New Roman"/>
          <w:sz w:val="25"/>
          <w:szCs w:val="25"/>
        </w:rPr>
      </w:pPr>
      <w:r w:rsidRPr="004F27CA">
        <w:rPr>
          <w:rFonts w:ascii="Times New Roman" w:hAnsi="Times New Roman" w:cs="Times New Roman"/>
          <w:sz w:val="25"/>
          <w:szCs w:val="25"/>
        </w:rPr>
        <w:t>Toute personne  ayant  donné un consentement éclairé écrit soit de lui-même soit obtenue auprès des tuteurs.</w:t>
      </w:r>
    </w:p>
    <w:p w14:paraId="2AE3301B"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Critères d’exclusion</w:t>
      </w:r>
    </w:p>
    <w:p w14:paraId="68B93CD8" w14:textId="77777777" w:rsidR="000632E1" w:rsidRPr="004F27CA" w:rsidRDefault="000632E1" w:rsidP="000632E1">
      <w:pPr>
        <w:pStyle w:val="ListParagraph"/>
        <w:numPr>
          <w:ilvl w:val="0"/>
          <w:numId w:val="5"/>
        </w:numPr>
        <w:rPr>
          <w:rFonts w:ascii="Times New Roman" w:hAnsi="Times New Roman" w:cs="Times New Roman"/>
          <w:sz w:val="25"/>
          <w:szCs w:val="25"/>
        </w:rPr>
      </w:pPr>
      <w:r w:rsidRPr="004F27CA">
        <w:rPr>
          <w:rFonts w:ascii="Times New Roman" w:hAnsi="Times New Roman" w:cs="Times New Roman"/>
          <w:sz w:val="25"/>
          <w:szCs w:val="25"/>
        </w:rPr>
        <w:t xml:space="preserve">Toute autre cas de fièvre semblable à la malaria, fièvre typhoïde ou toute autre forme d’éruption cutanées avec des marqueurs biologiques négatif au Mpox . </w:t>
      </w:r>
    </w:p>
    <w:p w14:paraId="25601DC9" w14:textId="77777777" w:rsidR="000632E1" w:rsidRPr="004F27CA" w:rsidRDefault="000632E1" w:rsidP="000632E1">
      <w:pPr>
        <w:pStyle w:val="ListParagraph"/>
        <w:numPr>
          <w:ilvl w:val="0"/>
          <w:numId w:val="5"/>
        </w:numPr>
        <w:rPr>
          <w:rFonts w:ascii="Times New Roman" w:hAnsi="Times New Roman" w:cs="Times New Roman"/>
          <w:sz w:val="25"/>
          <w:szCs w:val="25"/>
        </w:rPr>
      </w:pPr>
      <w:r w:rsidRPr="004F27CA">
        <w:rPr>
          <w:rFonts w:ascii="Times New Roman" w:hAnsi="Times New Roman" w:cs="Times New Roman"/>
          <w:sz w:val="25"/>
          <w:szCs w:val="25"/>
        </w:rPr>
        <w:t xml:space="preserve">Toute personne n’ayant pas donné de consentement éclairé. </w:t>
      </w:r>
    </w:p>
    <w:p w14:paraId="73637066"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lastRenderedPageBreak/>
        <w:t xml:space="preserve">Taille de l’échantillon : </w:t>
      </w:r>
      <w:r w:rsidRPr="004F27CA">
        <w:rPr>
          <w:rFonts w:eastAsiaTheme="minorHAnsi" w:cs="Times New Roman"/>
          <w:b w:val="0"/>
          <w:bCs w:val="0"/>
          <w:szCs w:val="25"/>
        </w:rPr>
        <w:t>consécutif (échantillonnage de convenance).</w:t>
      </w:r>
    </w:p>
    <w:p w14:paraId="48DBE4BA"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Technique de collecte  : la  collecte des informations a été  faite sur 3 approches : les alertes a travers  la  communauté suivant la strategie des recos  , la  recherche active  des cas  dans les structures sanitaires    par  les prestataires de santé , et  la surveillance  habituelle  dans les populations clés . </w:t>
      </w:r>
    </w:p>
    <w:p w14:paraId="36E28E29"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Nous avons procédé à une collecte d’informations auprès des personnes qui se présentaient dans une structure sanitaire ou dans la communauté (ménage sélectionné sur base du rapportage de la liste linéaire ou d’un prestataire).</w:t>
      </w:r>
    </w:p>
    <w:p w14:paraId="2C748586"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Etapes et déroulement de l’enquête</w:t>
      </w:r>
    </w:p>
    <w:p w14:paraId="0D333C3A"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 xml:space="preserve">3 phases : Préparative ,    Enquête proprement dite ou descente dans l’aire ou ménage concerné . </w:t>
      </w:r>
    </w:p>
    <w:p w14:paraId="019A28AF"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 xml:space="preserve">Phase préparative : consistait d’entrée en contact avec le prestataire ou directement le concerné cas suspect ou le tuteur pour la descente , l’équipe de dermatologie devait s’assurer de la tablette contenant le questionnaire pour  l’enquete , appareil photo pour la prise des images  et la lumière de wood  pour compléter l’examen dermatologique  . </w:t>
      </w:r>
    </w:p>
    <w:p w14:paraId="12176A1D"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L’équipe de microbiologie devait s’assurer de matériels de prélèvement et le transport des échantillons :</w:t>
      </w:r>
    </w:p>
    <w:p w14:paraId="274E9847"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Dans chaque aire, dans les ménages concernés , les cas suspects étaient préalablement sensibilisés et la descente sur terrain était faite sous la conduite du relais communautaire pour les cas notifiés à l’aire de santé ou à la zone de santé ;</w:t>
      </w:r>
    </w:p>
    <w:p w14:paraId="0D34B48D"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Pour les cas notifiés par un prestataire de santé nous donné les coordonnées du chef du ménage avec qui nous échangions par téléphone et prenions un rendez-vous . </w:t>
      </w:r>
    </w:p>
    <w:p w14:paraId="39FF2B66" w14:textId="77777777" w:rsidR="000632E1" w:rsidRPr="004F27CA" w:rsidRDefault="000632E1" w:rsidP="000632E1">
      <w:pPr>
        <w:pStyle w:val="ListParagraph"/>
        <w:numPr>
          <w:ilvl w:val="0"/>
          <w:numId w:val="6"/>
        </w:numPr>
        <w:jc w:val="both"/>
        <w:rPr>
          <w:rFonts w:ascii="Times New Roman" w:hAnsi="Times New Roman" w:cs="Times New Roman"/>
          <w:sz w:val="25"/>
          <w:szCs w:val="25"/>
        </w:rPr>
      </w:pPr>
      <w:r w:rsidRPr="004F27CA">
        <w:rPr>
          <w:rFonts w:ascii="Times New Roman" w:hAnsi="Times New Roman" w:cs="Times New Roman"/>
          <w:sz w:val="25"/>
          <w:szCs w:val="25"/>
        </w:rPr>
        <w:t xml:space="preserve">Enquète proprement dite : on débutait </w:t>
      </w:r>
    </w:p>
    <w:p w14:paraId="0D30C3A8" w14:textId="77777777" w:rsidR="000632E1" w:rsidRPr="004F27CA" w:rsidRDefault="000632E1" w:rsidP="000632E1">
      <w:pPr>
        <w:pStyle w:val="Heading2"/>
        <w:keepNext w:val="0"/>
        <w:keepLines w:val="0"/>
        <w:numPr>
          <w:ilvl w:val="1"/>
          <w:numId w:val="3"/>
        </w:numPr>
        <w:tabs>
          <w:tab w:val="num" w:pos="360"/>
        </w:tabs>
        <w:spacing w:before="100" w:beforeAutospacing="1" w:after="100" w:afterAutospacing="1" w:line="276" w:lineRule="auto"/>
        <w:ind w:left="0" w:firstLine="0"/>
        <w:rPr>
          <w:rFonts w:cs="Times New Roman"/>
          <w:szCs w:val="25"/>
        </w:rPr>
      </w:pPr>
      <w:r w:rsidRPr="004F27CA">
        <w:rPr>
          <w:rFonts w:cs="Times New Roman"/>
          <w:szCs w:val="25"/>
        </w:rPr>
        <w:t>Examen clinique dermatologique</w:t>
      </w:r>
    </w:p>
    <w:p w14:paraId="22CECCDD" w14:textId="77777777"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Examiner toute personne incluse.</w:t>
      </w:r>
    </w:p>
    <w:p w14:paraId="7296030A" w14:textId="77777777" w:rsidR="000632E1" w:rsidRPr="004F27CA" w:rsidRDefault="000632E1" w:rsidP="000632E1">
      <w:pPr>
        <w:jc w:val="both"/>
        <w:rPr>
          <w:rFonts w:ascii="Times New Roman" w:hAnsi="Times New Roman" w:cs="Times New Roman"/>
          <w:sz w:val="25"/>
          <w:szCs w:val="25"/>
        </w:rPr>
      </w:pPr>
      <w:r w:rsidRPr="004F27CA">
        <w:rPr>
          <w:rFonts w:ascii="Times New Roman" w:hAnsi="Times New Roman" w:cs="Times New Roman"/>
          <w:sz w:val="25"/>
          <w:szCs w:val="25"/>
        </w:rPr>
        <w:t>Pour chaque participant nous recherchions la présence des lésions : types, nombre distribution localisation.</w:t>
      </w:r>
    </w:p>
    <w:p w14:paraId="7FFF7EC8"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Nature : macule, papules, vésicules, pustules, croutes, ulcérations</w:t>
      </w:r>
    </w:p>
    <w:p w14:paraId="07AFAB15"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Localisation (visage, membres supérieurs, tronc, membres inférieurs, région anogénitale et muqueuses) ;</w:t>
      </w:r>
    </w:p>
    <w:p w14:paraId="7942F1CF"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Couleur ;</w:t>
      </w:r>
    </w:p>
    <w:p w14:paraId="18438059"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Taille ;</w:t>
      </w:r>
    </w:p>
    <w:p w14:paraId="709F8A68"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Nombre ;</w:t>
      </w:r>
    </w:p>
    <w:p w14:paraId="338D9AD6"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 xml:space="preserve">Distribution au niveau de chaque région ; </w:t>
      </w:r>
    </w:p>
    <w:p w14:paraId="5A79E2AD"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lastRenderedPageBreak/>
        <w:t>Les lésions cliniques ont été évaluées directement par examen physique et des photographies ont été prise à l’aide d’un appareil photo Nikon et la lumière de Wood pour permettre une meilleure description des lésions grâce au zoom ;</w:t>
      </w:r>
    </w:p>
    <w:p w14:paraId="10F9E603" w14:textId="77777777" w:rsidR="000632E1" w:rsidRPr="004F27CA" w:rsidRDefault="000632E1" w:rsidP="000632E1">
      <w:pPr>
        <w:pStyle w:val="ListParagraph"/>
        <w:numPr>
          <w:ilvl w:val="0"/>
          <w:numId w:val="7"/>
        </w:numPr>
        <w:jc w:val="both"/>
        <w:rPr>
          <w:rFonts w:ascii="Times New Roman" w:hAnsi="Times New Roman" w:cs="Times New Roman"/>
          <w:sz w:val="25"/>
          <w:szCs w:val="25"/>
        </w:rPr>
      </w:pPr>
      <w:r w:rsidRPr="004F27CA">
        <w:rPr>
          <w:rFonts w:ascii="Times New Roman" w:hAnsi="Times New Roman" w:cs="Times New Roman"/>
          <w:sz w:val="25"/>
          <w:szCs w:val="25"/>
        </w:rPr>
        <w:t xml:space="preserve">Ces images étaient gardées dans une photothéque en les identifiant selon  chaque patient , elles étaient ensuite revues en équipe et des infos ad hoc ont été extraites et collectées  chaque série d’images concernant un patient  comportait  un ID de chaque participant, les éléments suivants étaient relevés sur chaque image étaient gardées dans une photothèque et on examinait après en relevant les types et localisations de lésions, par rapport aux différents régions anatomiques. On terminait l’examen par le prélèvement de 5ml de sang effectuée par ponction veineuse , au près de chaque participant , dans un tube sec sans anticoagulant , des échantillons ont été prélevés au niveau   des lésions cutanées soit vésicule , papules , pustules , bulles ou croutes, au niveau   des  muqueuse buccale ,  anale et génitale a l’aide d’écouvillon en dacron  utilisant  un milieu pour  virus .   L’ensemble des  échantillonnage  ( sanguins et écouvillons ) a été transportés dans les glacières isothermiques contenant des accumulateurs de froid température +4C et +8C . le transport s’est effectué vers le Centre de  Recherche sur les  Maladies Emergentes et Réémèrgentes( CREMER ) aux cliniques universitaires  de Kinshasa service de Microbiologie , enfin tous les échantillons ont   été acheminés au  laboratoire de l’Institut National de Rècherche Biomédicale (INRB) pour la réalisation des analyses de Confirmation . </w:t>
      </w:r>
    </w:p>
    <w:p w14:paraId="5DF9A86D" w14:textId="77777777" w:rsidR="000632E1" w:rsidRPr="004F27CA" w:rsidRDefault="000632E1" w:rsidP="000632E1">
      <w:pPr>
        <w:tabs>
          <w:tab w:val="left" w:pos="3537"/>
        </w:tabs>
        <w:ind w:left="360"/>
        <w:jc w:val="both"/>
        <w:rPr>
          <w:rFonts w:ascii="Times New Roman" w:hAnsi="Times New Roman" w:cs="Times New Roman"/>
          <w:sz w:val="25"/>
          <w:szCs w:val="25"/>
        </w:rPr>
      </w:pPr>
    </w:p>
    <w:p w14:paraId="4DBF454C"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Variables sociodémographiques:</w:t>
      </w:r>
    </w:p>
    <w:p w14:paraId="3DD25D6F"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Age, sexe, Niveau d’études, Profession</w:t>
      </w:r>
    </w:p>
    <w:p w14:paraId="4A574995"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Variables cliniques:</w:t>
      </w:r>
    </w:p>
    <w:p w14:paraId="11AEC64D"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ATCD personnels(atopie)</w:t>
      </w:r>
    </w:p>
    <w:p w14:paraId="78FA4465"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ATCD dermatologiques(Histoire et évolution d’une modification cutanée )</w:t>
      </w:r>
    </w:p>
    <w:p w14:paraId="341EE162"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 xml:space="preserve">Lésions dermatologiques observées : types, localisation, distribution </w:t>
      </w:r>
    </w:p>
    <w:p w14:paraId="1FB94ED6"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Signes fonctionnels associés : fièvre, prurit, douleur, courbatures, céphalées, photophobie, malaises généralisés, dysphagie</w:t>
      </w:r>
    </w:p>
    <w:p w14:paraId="2312203D"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Variables paracliniques:</w:t>
      </w:r>
    </w:p>
    <w:p w14:paraId="096B9C5B"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Paramètres biologiques : sérologie aux Mpox.</w:t>
      </w:r>
    </w:p>
    <w:p w14:paraId="0059FA85"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Les données seront saisies a l’aide du logiciel Red cap et les analyses a l’aide du logiciel statat</w:t>
      </w:r>
    </w:p>
    <w:p w14:paraId="16EC8148"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 xml:space="preserve">Les variables quantitatives seront résumées sous forme de proportions </w:t>
      </w:r>
    </w:p>
    <w:p w14:paraId="0A286D25"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lastRenderedPageBreak/>
        <w:t xml:space="preserve">Les variables quantitatives sous forme de moyenne plus ou moins écart type </w:t>
      </w:r>
    </w:p>
    <w:p w14:paraId="4BEFD8F2"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 xml:space="preserve">La comparaisondes variables qualitatives sera faite par le test khi carré et celle des variables quantitatives par le T de studentou l’analyse des variances </w:t>
      </w:r>
    </w:p>
    <w:p w14:paraId="4B62AA44"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 xml:space="preserve">La force d’association sera évaluée par la regression logistique </w:t>
      </w:r>
    </w:p>
    <w:p w14:paraId="232AC367" w14:textId="77777777" w:rsidR="000632E1" w:rsidRPr="004F27CA" w:rsidRDefault="000632E1" w:rsidP="000632E1">
      <w:pPr>
        <w:rPr>
          <w:rFonts w:ascii="Times New Roman" w:hAnsi="Times New Roman" w:cs="Times New Roman"/>
          <w:sz w:val="25"/>
          <w:szCs w:val="25"/>
        </w:rPr>
      </w:pPr>
      <w:r w:rsidRPr="004F27CA">
        <w:rPr>
          <w:rFonts w:ascii="Times New Roman" w:hAnsi="Times New Roman" w:cs="Times New Roman"/>
          <w:sz w:val="25"/>
          <w:szCs w:val="25"/>
        </w:rPr>
        <w:t xml:space="preserve">La valeur de p inf 0.05 sera consideré comme significative </w:t>
      </w:r>
    </w:p>
    <w:p w14:paraId="3A9711F2"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DEFINITIONS OPERATIONNELLES </w:t>
      </w:r>
    </w:p>
    <w:p w14:paraId="50984E59"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Professionnelle de sexe : une personne qui exerce une activité liée a la prestation de services sexuels en échange d’une numération . </w:t>
      </w:r>
    </w:p>
    <w:p w14:paraId="7E029993"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Hommes ayant les rapports sexuels avec les autres hommes : </w:t>
      </w:r>
    </w:p>
    <w:p w14:paraId="44CA9629" w14:textId="77777777" w:rsidR="000632E1" w:rsidRPr="004F27CA" w:rsidRDefault="000632E1" w:rsidP="000632E1">
      <w:pPr>
        <w:ind w:firstLine="708"/>
        <w:rPr>
          <w:rFonts w:ascii="Times New Roman" w:hAnsi="Times New Roman" w:cs="Times New Roman"/>
          <w:sz w:val="25"/>
          <w:szCs w:val="25"/>
        </w:rPr>
      </w:pPr>
    </w:p>
    <w:p w14:paraId="2AEF832E"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Cas suspect Mpox : apparition soudaine d’une forte  fièvre  superieure a 38 C , suivie d’une ou  plusieures éruption  cutanées vesiculo pustulo crouteuse  se manifestant sur le visage , la paume des mains et plainte de pieds . </w:t>
      </w:r>
    </w:p>
    <w:p w14:paraId="41883ED9"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Cas confirmé Mpox : cas suspect avec confirmation au laboratoire ( anticorps IgM positifs , PCR ou isolement du virus)</w:t>
      </w:r>
    </w:p>
    <w:p w14:paraId="22DFDB15"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CONSIDERATIONS REGLEMENTAIRES ET ETHIQUES </w:t>
      </w:r>
    </w:p>
    <w:p w14:paraId="00E47CB7" w14:textId="77777777" w:rsidR="000632E1" w:rsidRPr="004F27CA" w:rsidRDefault="000632E1" w:rsidP="000632E1">
      <w:pPr>
        <w:tabs>
          <w:tab w:val="left" w:pos="1635"/>
        </w:tabs>
        <w:spacing w:line="360" w:lineRule="auto"/>
        <w:jc w:val="both"/>
        <w:rPr>
          <w:rFonts w:ascii="Times New Roman" w:hAnsi="Times New Roman" w:cs="Times New Roman"/>
          <w:sz w:val="25"/>
          <w:szCs w:val="25"/>
        </w:rPr>
      </w:pPr>
      <w:r w:rsidRPr="004F27CA">
        <w:rPr>
          <w:rFonts w:ascii="Times New Roman" w:hAnsi="Times New Roman" w:cs="Times New Roman"/>
          <w:sz w:val="25"/>
          <w:szCs w:val="25"/>
        </w:rPr>
        <w:t>Toutes les participantes ont fourni un consentement éclairé écrit, après avoir reçu une explication détaillée des objectifs, des procédures et des implications de la recherche. Le formulaire de consentement a été lu dans la langue comprise par chaque participante afin d’assurer une compréhension complète.</w:t>
      </w:r>
    </w:p>
    <w:p w14:paraId="589121EA" w14:textId="77777777" w:rsidR="000632E1" w:rsidRPr="004F27CA" w:rsidRDefault="000632E1" w:rsidP="000632E1">
      <w:pPr>
        <w:tabs>
          <w:tab w:val="left" w:pos="1635"/>
        </w:tabs>
        <w:spacing w:line="360" w:lineRule="auto"/>
        <w:jc w:val="both"/>
        <w:rPr>
          <w:rFonts w:ascii="Times New Roman" w:hAnsi="Times New Roman" w:cs="Times New Roman"/>
          <w:sz w:val="25"/>
          <w:szCs w:val="25"/>
        </w:rPr>
      </w:pPr>
      <w:r w:rsidRPr="004F27CA">
        <w:rPr>
          <w:rFonts w:ascii="Times New Roman" w:hAnsi="Times New Roman" w:cs="Times New Roman"/>
          <w:sz w:val="25"/>
          <w:szCs w:val="25"/>
        </w:rPr>
        <w:t>Les principes de confidentialité et d’anonymat ont été strictement respectés. Toutes les données collectées ont été codifiées et stockées de manière sécurisée, sans possibilité d’identifier individuellement les participantes.</w:t>
      </w:r>
    </w:p>
    <w:p w14:paraId="52CEF901" w14:textId="77777777" w:rsidR="000632E1" w:rsidRPr="004F27CA" w:rsidRDefault="000632E1" w:rsidP="000632E1">
      <w:pPr>
        <w:tabs>
          <w:tab w:val="left" w:pos="1635"/>
        </w:tabs>
        <w:spacing w:line="360" w:lineRule="auto"/>
        <w:jc w:val="both"/>
        <w:rPr>
          <w:rFonts w:ascii="Times New Roman" w:hAnsi="Times New Roman" w:cs="Times New Roman"/>
          <w:sz w:val="25"/>
          <w:szCs w:val="25"/>
        </w:rPr>
      </w:pPr>
      <w:r w:rsidRPr="004F27CA">
        <w:rPr>
          <w:rFonts w:ascii="Times New Roman" w:hAnsi="Times New Roman" w:cs="Times New Roman"/>
          <w:sz w:val="25"/>
          <w:szCs w:val="25"/>
        </w:rPr>
        <w:t>Cette étude a été soumise et approuvée par le Comité d’Éthique de l’École de Santé Publique de l’Université de Kinshasa (ESP-UNIKIN) sous le numéro ESP/CE/153/2024.</w:t>
      </w:r>
    </w:p>
    <w:p w14:paraId="69338F5A" w14:textId="77777777" w:rsidR="000632E1" w:rsidRPr="004F27CA" w:rsidRDefault="000632E1" w:rsidP="000632E1">
      <w:pPr>
        <w:rPr>
          <w:rFonts w:ascii="Times New Roman" w:hAnsi="Times New Roman" w:cs="Times New Roman"/>
          <w:sz w:val="25"/>
          <w:szCs w:val="25"/>
        </w:rPr>
      </w:pPr>
    </w:p>
    <w:p w14:paraId="7A0F506D" w14:textId="77777777" w:rsidR="000632E1" w:rsidRPr="004F27CA" w:rsidRDefault="000632E1" w:rsidP="000632E1">
      <w:pPr>
        <w:ind w:firstLine="708"/>
        <w:rPr>
          <w:rFonts w:ascii="Times New Roman" w:hAnsi="Times New Roman" w:cs="Times New Roman"/>
          <w:sz w:val="25"/>
          <w:szCs w:val="25"/>
        </w:rPr>
      </w:pPr>
    </w:p>
    <w:p w14:paraId="388D528B" w14:textId="77777777" w:rsidR="000632E1" w:rsidRPr="004F27CA" w:rsidRDefault="000632E1" w:rsidP="000632E1">
      <w:pPr>
        <w:ind w:firstLine="708"/>
        <w:rPr>
          <w:rFonts w:ascii="Times New Roman" w:hAnsi="Times New Roman" w:cs="Times New Roman"/>
          <w:sz w:val="25"/>
          <w:szCs w:val="25"/>
        </w:rPr>
      </w:pPr>
      <w:r w:rsidRPr="004F27CA">
        <w:rPr>
          <w:rFonts w:ascii="Times New Roman" w:hAnsi="Times New Roman" w:cs="Times New Roman"/>
          <w:sz w:val="25"/>
          <w:szCs w:val="25"/>
        </w:rPr>
        <w:t xml:space="preserve"> </w:t>
      </w:r>
    </w:p>
    <w:p w14:paraId="20A47C89" w14:textId="77777777" w:rsidR="000632E1" w:rsidRPr="004F27CA" w:rsidRDefault="000632E1" w:rsidP="000632E1">
      <w:pPr>
        <w:rPr>
          <w:rFonts w:ascii="Times New Roman" w:hAnsi="Times New Roman" w:cs="Times New Roman"/>
          <w:b/>
          <w:bCs/>
          <w:sz w:val="25"/>
          <w:szCs w:val="25"/>
        </w:rPr>
      </w:pPr>
      <w:r w:rsidRPr="004F27CA">
        <w:rPr>
          <w:rFonts w:ascii="Times New Roman" w:hAnsi="Times New Roman" w:cs="Times New Roman"/>
          <w:b/>
          <w:bCs/>
          <w:sz w:val="25"/>
          <w:szCs w:val="25"/>
        </w:rPr>
        <w:t>RESULTATS</w:t>
      </w:r>
    </w:p>
    <w:p w14:paraId="614A45AC" w14:textId="77777777" w:rsidR="000632E1" w:rsidRPr="004F27CA" w:rsidRDefault="000632E1" w:rsidP="000632E1">
      <w:pPr>
        <w:rPr>
          <w:rFonts w:ascii="Times New Roman" w:hAnsi="Times New Roman" w:cs="Times New Roman"/>
          <w:sz w:val="25"/>
          <w:szCs w:val="25"/>
        </w:rPr>
      </w:pPr>
    </w:p>
    <w:p w14:paraId="795FB045" w14:textId="77777777" w:rsidR="000632E1" w:rsidRPr="004F27CA" w:rsidRDefault="000632E1" w:rsidP="000632E1">
      <w:pPr>
        <w:rPr>
          <w:rFonts w:ascii="Times New Roman" w:eastAsiaTheme="majorEastAsia" w:hAnsi="Times New Roman" w:cs="Times New Roman"/>
          <w:b/>
          <w:bCs/>
          <w:color w:val="000000" w:themeColor="text1"/>
          <w:sz w:val="25"/>
          <w:szCs w:val="25"/>
          <w:lang w:bidi="en-US"/>
        </w:rPr>
      </w:pPr>
      <w:bookmarkStart w:id="15" w:name="_Toc26981324"/>
      <w:bookmarkStart w:id="16" w:name="_Toc73525245"/>
      <w:bookmarkStart w:id="17" w:name="_Toc73525412"/>
      <w:bookmarkStart w:id="18" w:name="_Toc73525481"/>
      <w:bookmarkEnd w:id="15"/>
      <w:bookmarkEnd w:id="16"/>
      <w:bookmarkEnd w:id="17"/>
      <w:bookmarkEnd w:id="18"/>
      <w:r w:rsidRPr="004F27CA">
        <w:rPr>
          <w:rFonts w:ascii="Times New Roman" w:eastAsiaTheme="majorEastAsia" w:hAnsi="Times New Roman" w:cs="Times New Roman"/>
          <w:b/>
          <w:bCs/>
          <w:noProof/>
          <w:color w:val="000000" w:themeColor="text1"/>
          <w:sz w:val="25"/>
          <w:szCs w:val="25"/>
          <w:lang w:bidi="en-US"/>
        </w:rPr>
        <w:drawing>
          <wp:inline distT="0" distB="0" distL="0" distR="0" wp14:anchorId="66FA50A2" wp14:editId="2BF44393">
            <wp:extent cx="5759450" cy="29845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2984500"/>
                    </a:xfrm>
                    <a:prstGeom prst="rect">
                      <a:avLst/>
                    </a:prstGeom>
                  </pic:spPr>
                </pic:pic>
              </a:graphicData>
            </a:graphic>
          </wp:inline>
        </w:drawing>
      </w:r>
    </w:p>
    <w:p w14:paraId="10E1B793" w14:textId="77777777" w:rsidR="000632E1" w:rsidRDefault="000632E1" w:rsidP="000632E1"/>
    <w:sectPr w:rsidR="00063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10F3F"/>
    <w:multiLevelType w:val="hybridMultilevel"/>
    <w:tmpl w:val="D3BC6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2A6DC0"/>
    <w:multiLevelType w:val="hybridMultilevel"/>
    <w:tmpl w:val="CF84B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E7D36"/>
    <w:multiLevelType w:val="hybridMultilevel"/>
    <w:tmpl w:val="5B8C8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4A5A03"/>
    <w:multiLevelType w:val="multilevel"/>
    <w:tmpl w:val="FED4D1C4"/>
    <w:lvl w:ilvl="0">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3D4AAC"/>
    <w:multiLevelType w:val="hybridMultilevel"/>
    <w:tmpl w:val="B8C26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A9151C"/>
    <w:multiLevelType w:val="hybridMultilevel"/>
    <w:tmpl w:val="C47EC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E14517"/>
    <w:multiLevelType w:val="multilevel"/>
    <w:tmpl w:val="7E88CB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38043431">
    <w:abstractNumId w:val="5"/>
  </w:num>
  <w:num w:numId="2" w16cid:durableId="679433992">
    <w:abstractNumId w:val="3"/>
  </w:num>
  <w:num w:numId="3" w16cid:durableId="1075783817">
    <w:abstractNumId w:val="6"/>
  </w:num>
  <w:num w:numId="4" w16cid:durableId="1172527515">
    <w:abstractNumId w:val="2"/>
  </w:num>
  <w:num w:numId="5" w16cid:durableId="1494250311">
    <w:abstractNumId w:val="4"/>
  </w:num>
  <w:num w:numId="6" w16cid:durableId="686490193">
    <w:abstractNumId w:val="0"/>
  </w:num>
  <w:num w:numId="7" w16cid:durableId="18332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1"/>
    <w:rsid w:val="000632E1"/>
    <w:rsid w:val="000B278A"/>
    <w:rsid w:val="00135A3F"/>
    <w:rsid w:val="0014286B"/>
    <w:rsid w:val="00261ACA"/>
    <w:rsid w:val="002B53D3"/>
    <w:rsid w:val="00305D73"/>
    <w:rsid w:val="003174DD"/>
    <w:rsid w:val="00350BFC"/>
    <w:rsid w:val="00470320"/>
    <w:rsid w:val="00481A4C"/>
    <w:rsid w:val="00513B9B"/>
    <w:rsid w:val="005B60F7"/>
    <w:rsid w:val="00606567"/>
    <w:rsid w:val="00607A48"/>
    <w:rsid w:val="00686720"/>
    <w:rsid w:val="00931985"/>
    <w:rsid w:val="00940FED"/>
    <w:rsid w:val="00972CC9"/>
    <w:rsid w:val="00A30FFB"/>
    <w:rsid w:val="00A53B4B"/>
    <w:rsid w:val="00A60A25"/>
    <w:rsid w:val="00AB3F15"/>
    <w:rsid w:val="00D420E4"/>
    <w:rsid w:val="00D73CE6"/>
    <w:rsid w:val="00EC47F8"/>
    <w:rsid w:val="00F470CC"/>
    <w:rsid w:val="00F95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FBAA"/>
  <w15:chartTrackingRefBased/>
  <w15:docId w15:val="{373E0398-3489-4987-BA80-65B8DADB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E1"/>
    <w:pPr>
      <w:spacing w:after="200" w:line="276" w:lineRule="auto"/>
    </w:pPr>
    <w:rPr>
      <w:rFonts w:eastAsiaTheme="minorEastAsia"/>
      <w:lang w:eastAsia="fr-FR"/>
    </w:rPr>
  </w:style>
  <w:style w:type="paragraph" w:styleId="Heading2">
    <w:name w:val="heading 2"/>
    <w:basedOn w:val="Normal"/>
    <w:next w:val="Normal"/>
    <w:link w:val="Heading2Char"/>
    <w:uiPriority w:val="9"/>
    <w:unhideWhenUsed/>
    <w:qFormat/>
    <w:rsid w:val="000632E1"/>
    <w:pPr>
      <w:keepNext/>
      <w:keepLines/>
      <w:spacing w:before="240" w:after="240" w:line="240" w:lineRule="auto"/>
      <w:outlineLvl w:val="1"/>
    </w:pPr>
    <w:rPr>
      <w:rFonts w:ascii="Times New Roman" w:eastAsiaTheme="majorEastAsia" w:hAnsi="Times New Roman" w:cstheme="majorBidi"/>
      <w:b/>
      <w:bCs/>
      <w:sz w:val="25"/>
      <w:szCs w:val="26"/>
      <w:lang w:eastAsia="en-US"/>
    </w:rPr>
  </w:style>
  <w:style w:type="paragraph" w:styleId="Heading3">
    <w:name w:val="heading 3"/>
    <w:basedOn w:val="Normal"/>
    <w:next w:val="Normal"/>
    <w:link w:val="Heading3Char"/>
    <w:uiPriority w:val="9"/>
    <w:unhideWhenUsed/>
    <w:rsid w:val="000632E1"/>
    <w:pPr>
      <w:keepNext/>
      <w:keepLines/>
      <w:spacing w:before="240" w:after="240" w:line="240" w:lineRule="auto"/>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2E1"/>
    <w:rPr>
      <w:rFonts w:ascii="Times New Roman" w:eastAsiaTheme="majorEastAsia" w:hAnsi="Times New Roman" w:cstheme="majorBidi"/>
      <w:b/>
      <w:bCs/>
      <w:sz w:val="25"/>
      <w:szCs w:val="26"/>
    </w:rPr>
  </w:style>
  <w:style w:type="character" w:customStyle="1" w:styleId="Heading3Char">
    <w:name w:val="Heading 3 Char"/>
    <w:basedOn w:val="DefaultParagraphFont"/>
    <w:link w:val="Heading3"/>
    <w:uiPriority w:val="9"/>
    <w:rsid w:val="000632E1"/>
    <w:rPr>
      <w:rFonts w:ascii="Times New Roman" w:eastAsiaTheme="majorEastAsia" w:hAnsi="Times New Roman" w:cstheme="majorBidi"/>
      <w:b/>
      <w:bCs/>
      <w:sz w:val="24"/>
      <w:lang w:eastAsia="fr-FR"/>
    </w:rPr>
  </w:style>
  <w:style w:type="paragraph" w:styleId="ListParagraph">
    <w:name w:val="List Paragraph"/>
    <w:basedOn w:val="Normal"/>
    <w:link w:val="ListParagraphChar"/>
    <w:uiPriority w:val="34"/>
    <w:qFormat/>
    <w:rsid w:val="000632E1"/>
    <w:pPr>
      <w:ind w:left="720"/>
      <w:contextualSpacing/>
    </w:pPr>
    <w:rPr>
      <w:rFonts w:eastAsiaTheme="minorHAnsi"/>
      <w:lang w:eastAsia="en-US"/>
    </w:rPr>
  </w:style>
  <w:style w:type="character" w:customStyle="1" w:styleId="ListParagraphChar">
    <w:name w:val="List Paragraph Char"/>
    <w:basedOn w:val="DefaultParagraphFont"/>
    <w:link w:val="ListParagraph"/>
    <w:uiPriority w:val="34"/>
    <w:locked/>
    <w:rsid w:val="0006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8</Pages>
  <Words>2213</Words>
  <Characters>12174</Characters>
  <Application>Microsoft Office Word</Application>
  <DocSecurity>0</DocSecurity>
  <Lines>101</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dc:creator>
  <cp:keywords/>
  <dc:description/>
  <cp:lastModifiedBy>Serge SULA</cp:lastModifiedBy>
  <cp:revision>37</cp:revision>
  <dcterms:created xsi:type="dcterms:W3CDTF">2025-10-18T00:07:00Z</dcterms:created>
  <dcterms:modified xsi:type="dcterms:W3CDTF">2025-10-22T07:45:00Z</dcterms:modified>
</cp:coreProperties>
</file>