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single" w:sz="18" w:space="4" w:color="E97132"/>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00"/>
        <w:gridCol w:w="6840"/>
      </w:tblGrid>
      <w:tr>
        <w:tblPrEx>
          <w:tblCellMar>
            <w:top w:w="0" w:type="dxa"/>
            <w:bottom w:w="0" w:type="dxa"/>
          </w:tblCellMar>
        </w:tblPrEx>
        <w:tc>
          <w:tcPr>
            <w:tcW w:w="3000" w:type="dxa"/>
            <w:shd w:val="clear" w:color="auto" w:fill="FFFFFF"/>
            <w:tcMar>
              <w:top w:w="60" w:type="dxa"/>
              <w:left w:w="0" w:type="dxa"/>
              <w:bottom w:w="80" w:type="dxa"/>
              <w:right w:w="120" w:type="dxa"/>
            </w:tcMar>
            <w:vAlign w:val="center"/>
          </w:tcPr>
          <w:p>
            <w:pPr>
              <w:spacing w:after="0"/>
            </w:pPr>
            <w:r>
              <w:drawing>
                <wp:inline distT="0" distB="0" distL="0" distR="0">
                  <wp:extent cx="1645920" cy="684442"/>
                  <wp:effectExtent l="0" t="0" r="0" b="0"/>
                  <wp:docPr id="101" name="Logo A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 AIB"/>
                          <pic:cNvPicPr/>
                        </pic:nvPicPr>
                        <pic:blipFill>
                          <a:blip r:embed="rId100"/>
                          <a:stretch>
                            <a:fillRect/>
                          </a:stretch>
                        </pic:blipFill>
                        <pic:spPr>
                          <a:xfrm>
                            <a:off x="0" y="0"/>
                            <a:ext cx="1645920" cy="684442"/>
                          </a:xfrm>
                          <a:prstGeom prst="rect">
                            <a:avLst/>
                          </a:prstGeom>
                        </pic:spPr>
                      </pic:pic>
                    </a:graphicData>
                  </a:graphic>
                </wp:inline>
              </w:drawing>
            </w:r>
          </w:p>
        </w:tc>
        <w:tc>
          <w:tcPr>
            <w:tcW w:w="6840" w:type="dxa"/>
            <w:shd w:val="clear" w:color="auto" w:fill="FFFFFF"/>
            <w:tcMar>
              <w:top w:w="120" w:type="dxa"/>
              <w:left w:w="180" w:type="dxa"/>
              <w:bottom w:w="120" w:type="dxa"/>
              <w:right w:w="120" w:type="dxa"/>
            </w:tcMar>
            <w:vAlign w:val="center"/>
          </w:tcPr>
          <w:p>
            <w:pPr>
              <w:spacing w:after="20"/>
            </w:pPr>
            <w:r>
              <w:rPr>
                <w:b/>
                <w:bCs/>
                <w:color w:val="0E2841"/>
                <w:sz w:val="26"/>
                <w:szCs w:val="26"/>
              </w:rPr>
              <w:t>ALLIED INSURANCE BROKERS</w:t>
            </w:r>
          </w:p>
          <w:p>
            <w:pPr>
              <w:spacing w:after="0"/>
            </w:pPr>
            <w:r>
              <w:rPr>
                <w:color w:val="156082"/>
                <w:sz w:val="17"/>
                <w:szCs w:val="17"/>
              </w:rPr>
              <w:t xml:space="preserve">AIB RDC Sarl · Courtage &amp; Placement · Membre du réseau Marsh</w:t>
            </w:r>
          </w:p>
        </w:tc>
      </w:tr>
    </w:tbl>
    <w:p w14:paraId="07F0EEB6" w14:textId="77777777" w:rsidR="00655BAE" w:rsidRDefault="00655BAE">
      <w:pPr>
        <w:spacing w:after="700"/>
      </w:pPr>
    </w:p>
    <w:p w14:paraId="41026182" w14:textId="77777777" w:rsidR="00655BAE" w:rsidRDefault="00000000">
      <w:r>
        <w:rPr>
          <w:b/>
          <w:bCs/>
          <w:color w:val="0E2841"/>
          <w:sz w:val="52"/>
          <w:szCs w:val="52"/>
        </w:rPr>
        <w:t>NOTE TECHNIQUE EXPLICATIVE</w:t>
      </w:r>
    </w:p>
    <w:p w14:paraId="13638435" w14:textId="77777777" w:rsidR="00655BAE" w:rsidRDefault="00000000">
      <w:pPr>
        <w:pBdr>
          <w:bottom w:val="single" w:sz="24" w:space="0" w:color="E97132"/>
        </w:pBdr>
        <w:spacing w:before="40" w:after="200"/>
      </w:pPr>
      <w:r>
        <w:rPr>
          <w:color w:val="156082"/>
          <w:sz w:val="30"/>
          <w:szCs w:val="30"/>
        </w:rPr>
        <w:t>Programme d'assurance – Lignes financières</w:t>
      </w:r>
    </w:p>
    <w:p w14:paraId="6BD39FC5" w14:textId="77777777" w:rsidR="00655BAE" w:rsidRDefault="00655BAE">
      <w:pPr>
        <w:spacing w:after="120"/>
      </w:pPr>
    </w:p>
    <w:p w14:paraId="30A54373" w14:textId="77777777" w:rsidR="00655BAE" w:rsidRDefault="00000000">
      <w:pPr>
        <w:spacing w:after="40"/>
      </w:pPr>
      <w:r>
        <w:rPr>
          <w:b/>
          <w:bCs/>
          <w:caps/>
          <w:color w:val="E97132"/>
          <w:sz w:val="20"/>
          <w:szCs w:val="20"/>
        </w:rPr>
        <w:t>Client</w:t>
      </w:r>
    </w:p>
    <w:p w14:paraId="4F19686B" w14:textId="77777777" w:rsidR="00655BAE" w:rsidRDefault="00000000">
      <w:pPr>
        <w:spacing w:after="200"/>
      </w:pPr>
      <w:r>
        <w:rPr>
          <w:b/>
          <w:bCs/>
          <w:color w:val="0E2841"/>
          <w:sz w:val="30"/>
          <w:szCs w:val="30"/>
        </w:rPr>
        <w:t>STANDARD BANK DRC SARL</w:t>
      </w:r>
    </w:p>
    <w:tbl>
      <w:tblPr>
        <w:tblW w:w="5000" w:type="pct"/>
        <w:tblBorders>
          <w:top w:val="none" w:sz="0" w:space="0" w:color="FFFFFF"/>
          <w:left w:val="none" w:sz="0" w:space="0" w:color="FFFFFF"/>
          <w:bottom w:val="none" w:sz="0" w:space="0" w:color="FFFFFF"/>
          <w:right w:val="none" w:sz="0" w:space="0" w:color="FFFFFF"/>
          <w:insideH w:val="single" w:sz="4" w:space="0" w:color="D6DEE8"/>
          <w:insideV w:val="none" w:sz="0" w:space="0" w:color="FFFFFF"/>
        </w:tblBorders>
        <w:tblLayout w:type="fixed"/>
        <w:tblCellMar>
          <w:left w:w="10" w:type="dxa"/>
          <w:right w:w="10" w:type="dxa"/>
        </w:tblCellMar>
        <w:tblLook w:val="04A0" w:firstRow="1" w:lastRow="0" w:firstColumn="1" w:lastColumn="0" w:noHBand="0" w:noVBand="1"/>
      </w:tblPr>
      <w:tblGrid>
        <w:gridCol w:w="3574"/>
        <w:gridCol w:w="6266"/>
      </w:tblGrid>
      <w:tr w:rsidR="00655BAE" w14:paraId="74103F54" w14:textId="77777777">
        <w:tblPrEx>
          <w:tblCellMar>
            <w:top w:w="0" w:type="dxa"/>
            <w:bottom w:w="0" w:type="dxa"/>
          </w:tblCellMar>
        </w:tblPrEx>
        <w:tc>
          <w:tcPr>
            <w:tcW w:w="3400" w:type="dxa"/>
            <w:shd w:val="clear" w:color="auto" w:fill="EEF2F7"/>
            <w:tcMar>
              <w:top w:w="70" w:type="dxa"/>
              <w:left w:w="150" w:type="dxa"/>
              <w:bottom w:w="70" w:type="dxa"/>
              <w:right w:w="100" w:type="dxa"/>
            </w:tcMar>
          </w:tcPr>
          <w:p w14:paraId="1CC7C251" w14:textId="77777777" w:rsidR="00655BAE" w:rsidRDefault="00000000">
            <w:r>
              <w:rPr>
                <w:b/>
                <w:bCs/>
                <w:color w:val="0E2841"/>
                <w:sz w:val="20"/>
                <w:szCs w:val="20"/>
              </w:rPr>
              <w:t>Objet</w:t>
            </w:r>
          </w:p>
        </w:tc>
        <w:tc>
          <w:tcPr>
            <w:tcW w:w="5960" w:type="dxa"/>
            <w:tcMar>
              <w:top w:w="70" w:type="dxa"/>
              <w:left w:w="150" w:type="dxa"/>
              <w:bottom w:w="70" w:type="dxa"/>
              <w:right w:w="120" w:type="dxa"/>
            </w:tcMar>
          </w:tcPr>
          <w:p w14:paraId="3676510D" w14:textId="77777777" w:rsidR="00655BAE" w:rsidRDefault="00000000">
            <w:r>
              <w:rPr>
                <w:color w:val="1A1A1A"/>
                <w:sz w:val="20"/>
                <w:szCs w:val="20"/>
              </w:rPr>
              <w:t>Explication des trois polices en place : D&amp;O, Crime &amp; Responsabilité civile, Cyber</w:t>
            </w:r>
          </w:p>
        </w:tc>
      </w:tr>
      <w:tr w:rsidR="00655BAE" w14:paraId="771DDAE5" w14:textId="77777777">
        <w:tblPrEx>
          <w:tblCellMar>
            <w:top w:w="0" w:type="dxa"/>
            <w:bottom w:w="0" w:type="dxa"/>
          </w:tblCellMar>
        </w:tblPrEx>
        <w:tc>
          <w:tcPr>
            <w:tcW w:w="3400" w:type="dxa"/>
            <w:shd w:val="clear" w:color="auto" w:fill="EEF2F7"/>
            <w:tcMar>
              <w:top w:w="70" w:type="dxa"/>
              <w:left w:w="150" w:type="dxa"/>
              <w:bottom w:w="70" w:type="dxa"/>
              <w:right w:w="100" w:type="dxa"/>
            </w:tcMar>
          </w:tcPr>
          <w:p w14:paraId="2E5A7107" w14:textId="77777777" w:rsidR="00655BAE" w:rsidRDefault="00000000">
            <w:r>
              <w:rPr>
                <w:b/>
                <w:bCs/>
                <w:color w:val="0E2841"/>
                <w:sz w:val="20"/>
                <w:szCs w:val="20"/>
              </w:rPr>
              <w:t>Assureur local (fronting)</w:t>
            </w:r>
          </w:p>
        </w:tc>
        <w:tc>
          <w:tcPr>
            <w:tcW w:w="5960" w:type="dxa"/>
            <w:tcMar>
              <w:top w:w="70" w:type="dxa"/>
              <w:left w:w="150" w:type="dxa"/>
              <w:bottom w:w="70" w:type="dxa"/>
              <w:right w:w="120" w:type="dxa"/>
            </w:tcMar>
          </w:tcPr>
          <w:p w14:paraId="5EAEE897" w14:textId="77777777" w:rsidR="00655BAE" w:rsidRDefault="00000000">
            <w:r>
              <w:rPr>
                <w:color w:val="1A1A1A"/>
                <w:sz w:val="20"/>
                <w:szCs w:val="20"/>
              </w:rPr>
              <w:t>SFA Congo – Société Financière d'Assurance (agrément ARCA 12002)</w:t>
            </w:r>
          </w:p>
        </w:tc>
      </w:tr>
      <w:tr w:rsidR="00655BAE" w14:paraId="63DF2A70" w14:textId="77777777">
        <w:tblPrEx>
          <w:tblCellMar>
            <w:top w:w="0" w:type="dxa"/>
            <w:bottom w:w="0" w:type="dxa"/>
          </w:tblCellMar>
        </w:tblPrEx>
        <w:tc>
          <w:tcPr>
            <w:tcW w:w="3400" w:type="dxa"/>
            <w:shd w:val="clear" w:color="auto" w:fill="EEF2F7"/>
            <w:tcMar>
              <w:top w:w="70" w:type="dxa"/>
              <w:left w:w="150" w:type="dxa"/>
              <w:bottom w:w="70" w:type="dxa"/>
              <w:right w:w="100" w:type="dxa"/>
            </w:tcMar>
          </w:tcPr>
          <w:p w14:paraId="4F636E90" w14:textId="77777777" w:rsidR="00655BAE" w:rsidRDefault="00000000">
            <w:r>
              <w:rPr>
                <w:b/>
                <w:bCs/>
                <w:color w:val="0E2841"/>
                <w:sz w:val="20"/>
                <w:szCs w:val="20"/>
              </w:rPr>
              <w:t>Programme Groupe</w:t>
            </w:r>
          </w:p>
        </w:tc>
        <w:tc>
          <w:tcPr>
            <w:tcW w:w="5960" w:type="dxa"/>
            <w:tcMar>
              <w:top w:w="70" w:type="dxa"/>
              <w:left w:w="150" w:type="dxa"/>
              <w:bottom w:w="70" w:type="dxa"/>
              <w:right w:w="120" w:type="dxa"/>
            </w:tcMar>
          </w:tcPr>
          <w:p w14:paraId="34956F64" w14:textId="77777777" w:rsidR="00655BAE" w:rsidRDefault="00000000">
            <w:r>
              <w:rPr>
                <w:color w:val="1A1A1A"/>
                <w:sz w:val="20"/>
                <w:szCs w:val="20"/>
              </w:rPr>
              <w:t>Stanbic International Insurance Ltd (SIIL) / Beazley – placé par WTW (Willis)</w:t>
            </w:r>
          </w:p>
        </w:tc>
      </w:tr>
      <w:tr w:rsidR="00655BAE" w14:paraId="4C34F4E3" w14:textId="77777777">
        <w:tblPrEx>
          <w:tblCellMar>
            <w:top w:w="0" w:type="dxa"/>
            <w:bottom w:w="0" w:type="dxa"/>
          </w:tblCellMar>
        </w:tblPrEx>
        <w:tc>
          <w:tcPr>
            <w:tcW w:w="3400" w:type="dxa"/>
            <w:shd w:val="clear" w:color="auto" w:fill="EEF2F7"/>
            <w:tcMar>
              <w:top w:w="70" w:type="dxa"/>
              <w:left w:w="150" w:type="dxa"/>
              <w:bottom w:w="70" w:type="dxa"/>
              <w:right w:w="100" w:type="dxa"/>
            </w:tcMar>
          </w:tcPr>
          <w:p w14:paraId="036C0619" w14:textId="77777777" w:rsidR="00655BAE" w:rsidRDefault="00000000">
            <w:r>
              <w:rPr>
                <w:b/>
                <w:bCs/>
                <w:color w:val="0E2841"/>
                <w:sz w:val="20"/>
                <w:szCs w:val="20"/>
              </w:rPr>
              <w:t>Courtier en RDC</w:t>
            </w:r>
          </w:p>
        </w:tc>
        <w:tc>
          <w:tcPr>
            <w:tcW w:w="5960" w:type="dxa"/>
            <w:tcMar>
              <w:top w:w="70" w:type="dxa"/>
              <w:left w:w="150" w:type="dxa"/>
              <w:bottom w:w="70" w:type="dxa"/>
              <w:right w:w="120" w:type="dxa"/>
            </w:tcMar>
          </w:tcPr>
          <w:p w14:paraId="6232A6C6" w14:textId="77777777" w:rsidR="00655BAE" w:rsidRDefault="00000000">
            <w:r>
              <w:rPr>
                <w:color w:val="1A1A1A"/>
                <w:sz w:val="20"/>
                <w:szCs w:val="20"/>
              </w:rPr>
              <w:t>AIB RDC Sarl (Allied Insurance Brokers)</w:t>
            </w:r>
          </w:p>
        </w:tc>
      </w:tr>
      <w:tr w:rsidR="00655BAE" w14:paraId="11C8C013" w14:textId="77777777">
        <w:tblPrEx>
          <w:tblCellMar>
            <w:top w:w="0" w:type="dxa"/>
            <w:bottom w:w="0" w:type="dxa"/>
          </w:tblCellMar>
        </w:tblPrEx>
        <w:tc>
          <w:tcPr>
            <w:tcW w:w="3400" w:type="dxa"/>
            <w:shd w:val="clear" w:color="auto" w:fill="EEF2F7"/>
            <w:tcMar>
              <w:top w:w="70" w:type="dxa"/>
              <w:left w:w="150" w:type="dxa"/>
              <w:bottom w:w="70" w:type="dxa"/>
              <w:right w:w="100" w:type="dxa"/>
            </w:tcMar>
          </w:tcPr>
          <w:p w14:paraId="26A38514" w14:textId="77777777" w:rsidR="00655BAE" w:rsidRDefault="00000000">
            <w:r>
              <w:rPr>
                <w:b/>
                <w:bCs/>
                <w:color w:val="0E2841"/>
                <w:sz w:val="20"/>
                <w:szCs w:val="20"/>
              </w:rPr>
              <w:t>Période de couverture</w:t>
            </w:r>
          </w:p>
        </w:tc>
        <w:tc>
          <w:tcPr>
            <w:tcW w:w="5960" w:type="dxa"/>
            <w:tcMar>
              <w:top w:w="70" w:type="dxa"/>
              <w:left w:w="150" w:type="dxa"/>
              <w:bottom w:w="70" w:type="dxa"/>
              <w:right w:w="120" w:type="dxa"/>
            </w:tcMar>
          </w:tcPr>
          <w:p w14:paraId="6A351738" w14:textId="1CAA7AD4" w:rsidR="00655BAE" w:rsidRDefault="00F61D93">
            <w:r>
              <w:rPr>
                <w:color w:val="1A1A1A"/>
                <w:sz w:val="20"/>
                <w:szCs w:val="20"/>
              </w:rPr>
              <w:t xml:space="preserve">Du 31 décembre 2025 au 30 décembre 2026 (inclus)</w:t>
            </w:r>
          </w:p>
        </w:tc>
      </w:tr>
      <w:tr w:rsidR="00655BAE" w14:paraId="0C388AC2" w14:textId="77777777">
        <w:tblPrEx>
          <w:tblCellMar>
            <w:top w:w="0" w:type="dxa"/>
            <w:bottom w:w="0" w:type="dxa"/>
          </w:tblCellMar>
        </w:tblPrEx>
        <w:tc>
          <w:tcPr>
            <w:tcW w:w="3400" w:type="dxa"/>
            <w:shd w:val="clear" w:color="auto" w:fill="EEF2F7"/>
            <w:tcMar>
              <w:top w:w="70" w:type="dxa"/>
              <w:left w:w="150" w:type="dxa"/>
              <w:bottom w:w="70" w:type="dxa"/>
              <w:right w:w="100" w:type="dxa"/>
            </w:tcMar>
          </w:tcPr>
          <w:p w14:paraId="5D7D4EA0" w14:textId="77777777" w:rsidR="00655BAE" w:rsidRDefault="00000000">
            <w:r>
              <w:rPr>
                <w:b/>
                <w:bCs/>
                <w:color w:val="0E2841"/>
                <w:sz w:val="20"/>
                <w:szCs w:val="20"/>
              </w:rPr>
              <w:t>Devise</w:t>
            </w:r>
          </w:p>
        </w:tc>
        <w:tc>
          <w:tcPr>
            <w:tcW w:w="5960" w:type="dxa"/>
            <w:tcMar>
              <w:top w:w="70" w:type="dxa"/>
              <w:left w:w="150" w:type="dxa"/>
              <w:bottom w:w="70" w:type="dxa"/>
              <w:right w:w="120" w:type="dxa"/>
            </w:tcMar>
          </w:tcPr>
          <w:p w14:paraId="2B3E3308" w14:textId="77777777" w:rsidR="00655BAE" w:rsidRDefault="00000000">
            <w:r>
              <w:rPr>
                <w:color w:val="1A1A1A"/>
                <w:sz w:val="20"/>
                <w:szCs w:val="20"/>
              </w:rPr>
              <w:t>USD (taux de conversion contractuel : USD 1 = ZAR 17,40)</w:t>
            </w:r>
          </w:p>
        </w:tc>
      </w:tr>
    </w:tbl>
    <w:p w14:paraId="702FE793" w14:textId="77777777" w:rsidR="00655BAE" w:rsidRDefault="00655BAE">
      <w:pPr>
        <w:spacing w:after="500"/>
      </w:pPr>
    </w:p>
    <w:tbl>
      <w:tblPr>
        <w:tblW w:w="5000" w:type="pct"/>
        <w:tblBorders>
          <w:top w:val="none" w:sz="0" w:space="0" w:color="FFFFFF"/>
          <w:left w:val="single" w:sz="28" w:space="0" w:color="E97132"/>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805"/>
      </w:tblGrid>
      <w:tr w:rsidR="00655BAE" w14:paraId="755CBE12" w14:textId="77777777">
        <w:tblPrEx>
          <w:tblCellMar>
            <w:top w:w="0" w:type="dxa"/>
            <w:bottom w:w="0" w:type="dxa"/>
          </w:tblCellMar>
        </w:tblPrEx>
        <w:tc>
          <w:tcPr>
            <w:tcW w:w="9360" w:type="dxa"/>
            <w:shd w:val="clear" w:color="auto" w:fill="FBE9DE"/>
            <w:tcMar>
              <w:top w:w="120" w:type="dxa"/>
              <w:left w:w="200" w:type="dxa"/>
              <w:bottom w:w="120" w:type="dxa"/>
              <w:right w:w="160" w:type="dxa"/>
            </w:tcMar>
          </w:tcPr>
          <w:p w14:paraId="78D3EDF5" w14:textId="77777777" w:rsidR="00655BAE" w:rsidRDefault="00000000">
            <w:pPr>
              <w:spacing w:line="258" w:lineRule="auto"/>
              <w:jc w:val="both"/>
            </w:pPr>
            <w:r>
              <w:rPr>
                <w:b/>
                <w:bCs/>
                <w:color w:val="0E2841"/>
                <w:sz w:val="19"/>
                <w:szCs w:val="19"/>
              </w:rPr>
              <w:t xml:space="preserve">À usage explicatif. </w:t>
            </w:r>
            <w:r>
              <w:rPr>
                <w:color w:val="1A1A1A"/>
                <w:sz w:val="19"/>
                <w:szCs w:val="19"/>
              </w:rPr>
              <w:t>Ce document résume et vulgarise les garanties pour en faciliter la compréhension. En cas de divergence, seuls les termes des Conditions Particulières et des wordings originaux (SIIL / Beazley) font foi.</w:t>
            </w:r>
          </w:p>
        </w:tc>
      </w:tr>
    </w:tbl>
    <w:p w14:paraId="01F4B24D" w14:textId="77777777" w:rsidR="00655BAE" w:rsidRDefault="00000000">
      <w:pPr>
        <w:spacing w:before="260"/>
      </w:pPr>
      <w:r>
        <w:rPr>
          <w:i/>
          <w:iCs/>
          <w:color w:val="5A6472"/>
          <w:sz w:val="19"/>
          <w:szCs w:val="19"/>
        </w:rPr>
        <w:t xml:space="preserve">Préparé par David KINI — AIB RDC Sarl  ·  Kinshasa, le 6 juillet 2026</w:t>
      </w:r>
    </w:p>
    <w:p w14:paraId="2368EDE5" w14:textId="77777777" w:rsidR="00655BAE" w:rsidRDefault="00000000">
      <w:r>
        <w:br w:type="page"/>
      </w:r>
    </w:p>
    <w:p w14:paraId="0B7B2D55" w14:textId="77777777" w:rsidR="00655BAE" w:rsidRDefault="00655BAE">
      <w:pPr>
        <w:sectPr w:rsidR="00655BAE">
          <w:pgSz w:w="12240" w:h="15840"/>
          <w:pgMar w:top="1080" w:right="1200" w:bottom="1080" w:left="1200" w:header="708" w:footer="708" w:gutter="0"/>
          <w:cols w:space="720"/>
          <w:docGrid w:linePitch="360"/>
        </w:sectPr>
      </w:pPr>
    </w:p>
    <w:p w14:paraId="0F86D6C5" w14:textId="166AD626" w:rsidR="00655BAE" w:rsidRDefault="00000000">
      <w:pPr>
        <w:keepNext/>
        <w:pBdr>
          <w:bottom w:val="single" w:sz="18" w:space="0" w:color="E97132"/>
        </w:pBdr>
        <w:spacing w:before="300" w:after="140"/>
      </w:pPr>
      <w:r>
        <w:rPr>
          <w:b/>
          <w:bCs/>
          <w:color w:val="E97132"/>
          <w:sz w:val="26"/>
          <w:szCs w:val="26"/>
        </w:rPr>
        <w:lastRenderedPageBreak/>
        <w:t xml:space="preserve">1   </w:t>
      </w:r>
      <w:r>
        <w:rPr>
          <w:b/>
          <w:bCs/>
          <w:caps/>
          <w:color w:val="0E2841"/>
          <w:sz w:val="26"/>
          <w:szCs w:val="26"/>
        </w:rPr>
        <w:t>Objet de la note</w:t>
      </w:r>
    </w:p>
    <w:p w14:paraId="42EA0295" w14:textId="77777777" w:rsidR="00655BAE" w:rsidRDefault="00000000">
      <w:pPr>
        <w:spacing w:after="120" w:line="264" w:lineRule="auto"/>
        <w:jc w:val="both"/>
      </w:pPr>
      <w:r>
        <w:rPr>
          <w:color w:val="1A1A1A"/>
        </w:rPr>
        <w:t>Standard Bank DRC SARL bénéficie de trois polices spécialisées, dites « lignes financières », qui protègent la banque, ses dirigeants et ses clients contre la fraude, la cybercriminalité et la mise en cause de la responsabilité des dirigeants. La présente note en précise l'objet, l'étendue et les principales limites.</w:t>
      </w:r>
    </w:p>
    <w:p w14:paraId="2671DEC1" w14:textId="77777777" w:rsidR="00655BAE" w:rsidRDefault="00000000">
      <w:pPr>
        <w:keepNext/>
        <w:spacing w:before="200" w:after="90"/>
      </w:pPr>
      <w:r>
        <w:rPr>
          <w:b/>
          <w:bCs/>
          <w:color w:val="156082"/>
          <w:sz w:val="23"/>
          <w:szCs w:val="23"/>
        </w:rPr>
        <w:t>Structure du programme</w:t>
      </w:r>
    </w:p>
    <w:p w14:paraId="797B56AB" w14:textId="77777777" w:rsidR="00655BAE" w:rsidRDefault="00000000">
      <w:pPr>
        <w:spacing w:after="120" w:line="264" w:lineRule="auto"/>
        <w:jc w:val="both"/>
      </w:pPr>
      <w:r>
        <w:rPr>
          <w:color w:val="1A1A1A"/>
        </w:rPr>
        <w:t>Vos polices reposent sur une architecture à deux niveaux, courante pour les filiales de grands groupes bancaires :</w:t>
      </w:r>
    </w:p>
    <w:p w14:paraId="0BB8E60B" w14:textId="64F94235" w:rsidR="00655BAE" w:rsidRDefault="00000000">
      <w:pPr>
        <w:spacing w:after="70" w:line="260" w:lineRule="auto"/>
        <w:ind w:left="360" w:hanging="200"/>
        <w:jc w:val="both"/>
      </w:pPr>
      <w:r>
        <w:rPr>
          <w:b/>
          <w:bCs/>
          <w:color w:val="E97132"/>
          <w:sz w:val="16"/>
          <w:szCs w:val="16"/>
        </w:rPr>
        <w:t xml:space="preserve">▪   </w:t>
      </w:r>
      <w:r>
        <w:rPr>
          <w:b/>
          <w:bCs/>
          <w:color w:val="0E2841"/>
        </w:rPr>
        <w:t xml:space="preserve">Le programme Groupe. </w:t>
      </w:r>
      <w:r>
        <w:rPr>
          <w:color w:val="1A1A1A"/>
        </w:rPr>
        <w:t>Standard Bank Group négocie au niveau international un « wording maître » auprès de son assureur captif Stanbic International Insurance Limited (SIIL) et, pour le cyber, de Beazley, via le courtier WTW (Willis). Ce wording définit l'étendue réelle des garanties.</w:t>
      </w:r>
    </w:p>
    <w:p w14:paraId="4F5DFAA7" w14:textId="496DDAAC" w:rsidR="00655BAE" w:rsidRDefault="00000000">
      <w:pPr>
        <w:spacing w:after="70" w:line="260" w:lineRule="auto"/>
        <w:ind w:left="360" w:hanging="200"/>
        <w:jc w:val="both"/>
      </w:pPr>
      <w:r>
        <w:rPr>
          <w:b/>
          <w:bCs/>
          <w:color w:val="E97132"/>
          <w:sz w:val="16"/>
          <w:szCs w:val="16"/>
        </w:rPr>
        <w:t xml:space="preserve">▪   </w:t>
      </w:r>
      <w:r>
        <w:rPr>
          <w:b/>
          <w:bCs/>
          <w:color w:val="0E2841"/>
        </w:rPr>
        <w:t xml:space="preserve">La police locale de fronting. </w:t>
      </w:r>
      <w:r>
        <w:rPr>
          <w:color w:val="1A1A1A"/>
        </w:rPr>
        <w:t>La réglementation congolaise (art. 286 du Code des assurances) impose d'assurer localement un risque situé en RDC. SFA Congo émet donc, via AIB, une police locale qui « reprend » les conditions du programme Groupe et vous couvre en droit congolais.</w:t>
      </w:r>
    </w:p>
    <w:p w14:paraId="6365BD85" w14:textId="77777777" w:rsidR="00655BAE" w:rsidRDefault="00655BAE">
      <w:pPr>
        <w:spacing w:after="40"/>
      </w:pPr>
    </w:p>
    <w:tbl>
      <w:tblPr>
        <w:tblW w:w="5000" w:type="pct"/>
        <w:tblBorders>
          <w:top w:val="none" w:sz="0" w:space="0" w:color="FFFFFF"/>
          <w:left w:val="single" w:sz="28" w:space="0" w:color="156082"/>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805"/>
      </w:tblGrid>
      <w:tr w:rsidR="00655BAE" w14:paraId="589755F2" w14:textId="77777777">
        <w:tblPrEx>
          <w:tblCellMar>
            <w:top w:w="0" w:type="dxa"/>
            <w:bottom w:w="0" w:type="dxa"/>
          </w:tblCellMar>
        </w:tblPrEx>
        <w:tc>
          <w:tcPr>
            <w:tcW w:w="9360" w:type="dxa"/>
            <w:shd w:val="clear" w:color="auto" w:fill="EEF2F7"/>
            <w:tcMar>
              <w:top w:w="120" w:type="dxa"/>
              <w:left w:w="200" w:type="dxa"/>
              <w:bottom w:w="120" w:type="dxa"/>
              <w:right w:w="160" w:type="dxa"/>
            </w:tcMar>
          </w:tcPr>
          <w:p w14:paraId="512483E3" w14:textId="77777777" w:rsidR="00655BAE" w:rsidRDefault="00000000">
            <w:pPr>
              <w:spacing w:after="60"/>
            </w:pPr>
            <w:r>
              <w:rPr>
                <w:b/>
                <w:bCs/>
                <w:caps/>
                <w:color w:val="156082"/>
                <w:sz w:val="20"/>
                <w:szCs w:val="20"/>
              </w:rPr>
              <w:t>En pratique</w:t>
            </w:r>
          </w:p>
          <w:p w14:paraId="00E47CE0" w14:textId="2F02B37A" w:rsidR="00655BAE" w:rsidRDefault="00000000">
            <w:pPr>
              <w:spacing w:line="258" w:lineRule="auto"/>
              <w:jc w:val="both"/>
            </w:pPr>
            <w:r>
              <w:rPr>
                <w:color w:val="1A1A1A"/>
                <w:sz w:val="20"/>
                <w:szCs w:val="20"/>
              </w:rPr>
              <w:t xml:space="preserve">Concrètement, vous avez un contrat local valable en RDC (celui émis par SFA Congo), tout en profitant des limites et garanties très élevées négociées par le Groupe. Plusieurs clauses techniques des polices (« Non-Proportionnel Facultative », « Cut-Through », « Original Conditions ») ne servent qu'à relier proprement ces deux niveaux , elles garantissent notamment qu'en cas de sinistre, le paiement peut être fait directement au bénéficiaire local.</w:t>
            </w:r>
          </w:p>
        </w:tc>
      </w:tr>
    </w:tbl>
    <w:p w14:paraId="40C90413" w14:textId="77777777" w:rsidR="00655BAE" w:rsidRDefault="00000000">
      <w:pPr>
        <w:keepNext/>
        <w:pBdr>
          <w:bottom w:val="single" w:sz="18" w:space="0" w:color="E97132"/>
        </w:pBdr>
        <w:spacing w:before="300" w:after="140"/>
      </w:pPr>
      <w:r>
        <w:rPr>
          <w:b/>
          <w:bCs/>
          <w:color w:val="E97132"/>
          <w:sz w:val="26"/>
          <w:szCs w:val="26"/>
        </w:rPr>
        <w:t xml:space="preserve">2  </w:t>
      </w:r>
      <w:r>
        <w:rPr>
          <w:b/>
          <w:bCs/>
          <w:caps/>
          <w:color w:val="0E2841"/>
          <w:sz w:val="26"/>
          <w:szCs w:val="26"/>
        </w:rPr>
        <w:t xml:space="preserve">Notions clés</w:t>
      </w:r>
    </w:p>
    <w:p w14:paraId="7AAE2610" w14:textId="77777777" w:rsidR="00655BAE" w:rsidRDefault="00000000">
      <w:pPr>
        <w:spacing w:after="120" w:line="264" w:lineRule="auto"/>
        <w:jc w:val="both"/>
      </w:pPr>
      <w:r>
        <w:rPr>
          <w:color w:val="1A1A1A"/>
        </w:rPr>
        <w:t>Les mêmes termes reviennent dans les trois contrats ; en voici la définition.</w:t>
      </w:r>
    </w:p>
    <w:p w14:paraId="05F739DD" w14:textId="498ED44F" w:rsidR="00655BAE" w:rsidRDefault="00000000">
      <w:pPr>
        <w:spacing w:after="80" w:line="258" w:lineRule="auto"/>
        <w:ind w:left="360" w:hanging="360"/>
        <w:jc w:val="both"/>
      </w:pPr>
      <w:r>
        <w:rPr>
          <w:b/>
          <w:bCs/>
          <w:color w:val="E97132"/>
          <w:sz w:val="16"/>
          <w:szCs w:val="16"/>
        </w:rPr>
        <w:t xml:space="preserve">▪   </w:t>
      </w:r>
      <w:r>
        <w:rPr>
          <w:b/>
          <w:bCs/>
          <w:color w:val="0E2841"/>
        </w:rPr>
        <w:t xml:space="preserve">Limite (Limit of Liability) : </w:t>
      </w:r>
      <w:r>
        <w:rPr>
          <w:color w:val="1A1A1A"/>
        </w:rPr>
        <w:t xml:space="preserve">le montant maximum que l'assureur paiera. On distingue la limite « par sinistre » (each single loss/claim) et la limite « globale » (in the aggregate), qui plafonne le cumul de tous les sinistres de l'année.</w:t>
      </w:r>
    </w:p>
    <w:p w14:paraId="7873851C" w14:textId="20FF0A19" w:rsidR="00655BAE" w:rsidRDefault="00000000">
      <w:pPr>
        <w:spacing w:after="80" w:line="258" w:lineRule="auto"/>
        <w:ind w:left="360" w:hanging="360"/>
        <w:jc w:val="both"/>
      </w:pPr>
      <w:r>
        <w:rPr>
          <w:b/>
          <w:bCs/>
          <w:color w:val="E97132"/>
          <w:sz w:val="16"/>
          <w:szCs w:val="16"/>
        </w:rPr>
        <w:t xml:space="preserve">▪    </w:t>
      </w:r>
      <w:r>
        <w:rPr>
          <w:b/>
          <w:bCs/>
          <w:color w:val="0E2841"/>
        </w:rPr>
        <w:t xml:space="preserve">Franchise / Rétention (Deductible / Retention)  </w:t>
      </w:r>
      <w:r>
        <w:rPr>
          <w:color w:val="1A1A1A"/>
        </w:rPr>
        <w:t xml:space="preserve">la part qui reste à votre charge sur chaque sinistre. L'assureur n'intervient qu'au-delà de ce montant.</w:t>
      </w:r>
    </w:p>
    <w:p w14:paraId="02C67B5C" w14:textId="44139CC9" w:rsidR="00655BAE" w:rsidRDefault="00000000">
      <w:pPr>
        <w:spacing w:after="80" w:line="258" w:lineRule="auto"/>
        <w:ind w:left="360" w:hanging="360"/>
        <w:jc w:val="both"/>
      </w:pPr>
      <w:r>
        <w:rPr>
          <w:b/>
          <w:bCs/>
          <w:color w:val="E97132"/>
          <w:sz w:val="16"/>
          <w:szCs w:val="16"/>
        </w:rPr>
        <w:t xml:space="preserve">▪   </w:t>
      </w:r>
      <w:r>
        <w:rPr>
          <w:b/>
          <w:bCs/>
          <w:color w:val="0E2841"/>
        </w:rPr>
        <w:t xml:space="preserve">Sous-limite (Sub-limit) : </w:t>
      </w:r>
      <w:r>
        <w:rPr>
          <w:color w:val="1A1A1A"/>
        </w:rPr>
        <w:t>un plafond réduit applicable à une garantie particulière, à l'intérieur de la limite globale (et non en plus de celle-ci).</w:t>
      </w:r>
    </w:p>
    <w:p w14:paraId="13773963" w14:textId="1CFBAE9E" w:rsidR="00655BAE" w:rsidRDefault="00000000">
      <w:pPr>
        <w:spacing w:after="80" w:line="258" w:lineRule="auto"/>
        <w:ind w:left="360" w:hanging="360"/>
        <w:jc w:val="both"/>
      </w:pPr>
      <w:r>
        <w:rPr>
          <w:b/>
          <w:bCs/>
          <w:color w:val="E97132"/>
          <w:sz w:val="16"/>
          <w:szCs w:val="16"/>
        </w:rPr>
        <w:t xml:space="preserve">▪   </w:t>
      </w:r>
      <w:r>
        <w:rPr>
          <w:b/>
          <w:bCs/>
          <w:color w:val="0E2841"/>
        </w:rPr>
        <w:t xml:space="preserve">Base de déclenchement : </w:t>
      </w:r>
      <w:r>
        <w:rPr>
          <w:color w:val="1A1A1A"/>
        </w:rPr>
        <w:t>détermine quel sinistre est couvert. « Claims-made » (réclamation formulée) : la réclamation doit être reçue pendant la période de police. « Discovery » (découverte) : la perte doit être découverte pendant la période. « Date rétroactive » : les faits générateurs antérieurs à cette date ne sont pas couverts.</w:t>
      </w:r>
    </w:p>
    <w:p w14:paraId="5FE150F3" w14:textId="453D3C9D" w:rsidR="00655BAE" w:rsidRDefault="00000000">
      <w:pPr>
        <w:spacing w:after="80" w:line="258" w:lineRule="auto"/>
        <w:ind w:left="360" w:hanging="360"/>
        <w:jc w:val="both"/>
      </w:pPr>
      <w:r>
        <w:rPr>
          <w:b/>
          <w:bCs/>
          <w:color w:val="E97132"/>
          <w:sz w:val="16"/>
          <w:szCs w:val="16"/>
        </w:rPr>
        <w:t xml:space="preserve">▪   </w:t>
      </w:r>
      <w:r>
        <w:rPr>
          <w:b/>
          <w:bCs/>
          <w:color w:val="0E2841"/>
        </w:rPr>
        <w:t xml:space="preserve">Réintégration (Reinstatement) : </w:t>
      </w:r>
      <w:r>
        <w:rPr>
          <w:color w:val="1A1A1A"/>
        </w:rPr>
        <w:t>une reconstitution de la limite après son épuisement, permettant de rester couvert pour de nouveaux sinistres sans lien avec les précédents.</w:t>
      </w:r>
    </w:p>
    <w:p w14:paraId="61EB5DC8" w14:textId="77777777" w:rsidR="00655BAE" w:rsidRDefault="00000000">
      <w:r>
        <w:br w:type="page"/>
      </w:r>
    </w:p>
    <w:p w14:paraId="1D79A3E4" w14:textId="1201AA91" w:rsidR="00655BAE" w:rsidRDefault="00000000">
      <w:pPr>
        <w:keepNext/>
        <w:pBdr>
          <w:bottom w:val="single" w:sz="18" w:space="0" w:color="E97132"/>
        </w:pBdr>
        <w:spacing w:before="300" w:after="140"/>
      </w:pPr>
      <w:r>
        <w:rPr>
          <w:b/>
          <w:bCs/>
          <w:color w:val="E97132"/>
          <w:sz w:val="26"/>
          <w:szCs w:val="26"/>
        </w:rPr>
        <w:lastRenderedPageBreak/>
        <w:t xml:space="preserve">3   </w:t>
      </w:r>
      <w:r>
        <w:rPr>
          <w:b/>
          <w:bCs/>
          <w:caps/>
          <w:color w:val="0E2841"/>
          <w:sz w:val="26"/>
          <w:szCs w:val="26"/>
        </w:rPr>
        <w:t>Police D&amp;O — Responsabilité des dirigeants</w:t>
      </w:r>
    </w:p>
    <w:p w14:paraId="5E911A53" w14:textId="77777777" w:rsidR="00655BAE" w:rsidRDefault="00000000">
      <w:pPr>
        <w:spacing w:after="120" w:line="264" w:lineRule="auto"/>
        <w:jc w:val="both"/>
      </w:pPr>
      <w:r>
        <w:rPr>
          <w:b/>
          <w:bCs/>
          <w:color w:val="E97132"/>
        </w:rPr>
        <w:t xml:space="preserve">Objet : </w:t>
      </w:r>
      <w:r>
        <w:rPr>
          <w:color w:val="1A1A1A"/>
        </w:rPr>
        <w:t>elle protège le patrimoine personnel des administrateurs et dirigeants lorsqu'ils sont mis en cause pour une faute de gestion, et rembourse la banque lorsqu'elle a avancé leur défense.</w:t>
      </w:r>
    </w:p>
    <w:tbl>
      <w:tblPr>
        <w:tblW w:w="5000" w:type="pct"/>
        <w:tblBorders>
          <w:top w:val="none" w:sz="0" w:space="0" w:color="FFFFFF"/>
          <w:left w:val="none" w:sz="0" w:space="0" w:color="FFFFFF"/>
          <w:bottom w:val="none" w:sz="0" w:space="0" w:color="FFFFFF"/>
          <w:right w:val="none" w:sz="0" w:space="0" w:color="FFFFFF"/>
          <w:insideH w:val="single" w:sz="4" w:space="0" w:color="D6DEE8"/>
          <w:insideV w:val="none" w:sz="0" w:space="0" w:color="FFFFFF"/>
        </w:tblBorders>
        <w:tblLayout w:type="fixed"/>
        <w:tblCellMar>
          <w:left w:w="10" w:type="dxa"/>
          <w:right w:w="10" w:type="dxa"/>
        </w:tblCellMar>
        <w:tblLook w:val="04A0" w:firstRow="1" w:lastRow="0" w:firstColumn="1" w:lastColumn="0" w:noHBand="0" w:noVBand="1"/>
      </w:tblPr>
      <w:tblGrid>
        <w:gridCol w:w="3364"/>
        <w:gridCol w:w="6476"/>
      </w:tblGrid>
      <w:tr w:rsidR="00655BAE" w14:paraId="1BEA93B6"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7FABBA57" w14:textId="77777777" w:rsidR="00655BAE" w:rsidRDefault="00000000">
            <w:r>
              <w:rPr>
                <w:b/>
                <w:bCs/>
                <w:color w:val="0E2841"/>
                <w:sz w:val="20"/>
                <w:szCs w:val="20"/>
              </w:rPr>
              <w:t>Contrat SFA Congo</w:t>
            </w:r>
          </w:p>
        </w:tc>
        <w:tc>
          <w:tcPr>
            <w:tcW w:w="6160" w:type="dxa"/>
            <w:tcMar>
              <w:top w:w="70" w:type="dxa"/>
              <w:left w:w="150" w:type="dxa"/>
              <w:bottom w:w="70" w:type="dxa"/>
              <w:right w:w="120" w:type="dxa"/>
            </w:tcMar>
          </w:tcPr>
          <w:p w14:paraId="7A1893CA" w14:textId="77777777" w:rsidR="00655BAE" w:rsidRDefault="00000000">
            <w:r>
              <w:rPr>
                <w:color w:val="1A1A1A"/>
                <w:sz w:val="20"/>
                <w:szCs w:val="20"/>
              </w:rPr>
              <w:t>N° 12002-33002-0015-113-00082082-2025 (autorisation 12002-090015)</w:t>
            </w:r>
          </w:p>
        </w:tc>
      </w:tr>
      <w:tr w:rsidR="00655BAE" w14:paraId="2788311B"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1131732E" w14:textId="77777777" w:rsidR="00655BAE" w:rsidRDefault="00000000">
            <w:r>
              <w:rPr>
                <w:b/>
                <w:bCs/>
                <w:color w:val="0E2841"/>
                <w:sz w:val="20"/>
                <w:szCs w:val="20"/>
              </w:rPr>
              <w:t>Limite globale</w:t>
            </w:r>
          </w:p>
        </w:tc>
        <w:tc>
          <w:tcPr>
            <w:tcW w:w="6160" w:type="dxa"/>
            <w:tcMar>
              <w:top w:w="70" w:type="dxa"/>
              <w:left w:w="150" w:type="dxa"/>
              <w:bottom w:w="70" w:type="dxa"/>
              <w:right w:w="120" w:type="dxa"/>
            </w:tcMar>
          </w:tcPr>
          <w:p w14:paraId="311C58D2" w14:textId="77777777" w:rsidR="00655BAE" w:rsidRDefault="00000000">
            <w:r>
              <w:rPr>
                <w:color w:val="1A1A1A"/>
                <w:sz w:val="20"/>
                <w:szCs w:val="20"/>
              </w:rPr>
              <w:t xml:space="preserve">USD 172 413 793 (ZAR 3 milliards), Side A &amp; B, en agrégat</w:t>
            </w:r>
          </w:p>
        </w:tc>
      </w:tr>
      <w:tr w:rsidR="00655BAE" w14:paraId="6D62D285"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2ED090DB" w14:textId="77777777" w:rsidR="00655BAE" w:rsidRDefault="00000000">
            <w:r>
              <w:rPr>
                <w:b/>
                <w:bCs/>
                <w:color w:val="0E2841"/>
                <w:sz w:val="20"/>
                <w:szCs w:val="20"/>
              </w:rPr>
              <w:t>Franchise dirigeants</w:t>
            </w:r>
          </w:p>
        </w:tc>
        <w:tc>
          <w:tcPr>
            <w:tcW w:w="6160" w:type="dxa"/>
            <w:tcMar>
              <w:top w:w="70" w:type="dxa"/>
              <w:left w:w="150" w:type="dxa"/>
              <w:bottom w:w="70" w:type="dxa"/>
              <w:right w:w="120" w:type="dxa"/>
            </w:tcMar>
          </w:tcPr>
          <w:p w14:paraId="1251F64E" w14:textId="77777777" w:rsidR="00655BAE" w:rsidRDefault="00000000">
            <w:r>
              <w:rPr>
                <w:color w:val="1A1A1A"/>
                <w:sz w:val="20"/>
                <w:szCs w:val="20"/>
              </w:rPr>
              <w:t>Néant (USD 0) pour la responsabilité individuelle</w:t>
            </w:r>
          </w:p>
        </w:tc>
      </w:tr>
      <w:tr w:rsidR="00655BAE" w14:paraId="7E7241C0"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03331D66" w14:textId="77777777" w:rsidR="00655BAE" w:rsidRDefault="00000000">
            <w:r>
              <w:rPr>
                <w:b/>
                <w:bCs/>
                <w:color w:val="0E2841"/>
                <w:sz w:val="20"/>
                <w:szCs w:val="20"/>
              </w:rPr>
              <w:t>Franchise société</w:t>
            </w:r>
          </w:p>
        </w:tc>
        <w:tc>
          <w:tcPr>
            <w:tcW w:w="6160" w:type="dxa"/>
            <w:tcMar>
              <w:top w:w="70" w:type="dxa"/>
              <w:left w:w="150" w:type="dxa"/>
              <w:bottom w:w="70" w:type="dxa"/>
              <w:right w:w="120" w:type="dxa"/>
            </w:tcMar>
          </w:tcPr>
          <w:p w14:paraId="5AFB86E1" w14:textId="77777777" w:rsidR="00655BAE" w:rsidRDefault="00000000">
            <w:r>
              <w:rPr>
                <w:color w:val="1A1A1A"/>
                <w:sz w:val="20"/>
                <w:szCs w:val="20"/>
              </w:rPr>
              <w:t>ZAR 5 000 000 (≈ USD 287 356) pour le remboursement société ; USD 500 000 pour une action aux États-Unis</w:t>
            </w:r>
          </w:p>
        </w:tc>
      </w:tr>
      <w:tr w:rsidR="00655BAE" w14:paraId="052BEB8D"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005155B2" w14:textId="77777777" w:rsidR="00655BAE" w:rsidRDefault="00000000">
            <w:r>
              <w:rPr>
                <w:b/>
                <w:bCs/>
                <w:color w:val="0E2841"/>
                <w:sz w:val="20"/>
                <w:szCs w:val="20"/>
              </w:rPr>
              <w:t>Prime totale (locale)</w:t>
            </w:r>
          </w:p>
        </w:tc>
        <w:tc>
          <w:tcPr>
            <w:tcW w:w="6160" w:type="dxa"/>
            <w:tcMar>
              <w:top w:w="70" w:type="dxa"/>
              <w:left w:w="150" w:type="dxa"/>
              <w:bottom w:w="70" w:type="dxa"/>
              <w:right w:w="120" w:type="dxa"/>
            </w:tcMar>
          </w:tcPr>
          <w:p w14:paraId="4B51335A" w14:textId="77777777" w:rsidR="00655BAE" w:rsidRDefault="00000000">
            <w:r>
              <w:rPr>
                <w:color w:val="1A1A1A"/>
                <w:sz w:val="20"/>
                <w:szCs w:val="20"/>
              </w:rPr>
              <w:t>USD 5 164,06 (nette 4 336,06 + frais 115,72 + TVA 712,28)</w:t>
            </w:r>
          </w:p>
        </w:tc>
      </w:tr>
    </w:tbl>
    <w:p w14:paraId="00F838A6" w14:textId="77777777" w:rsidR="00655BAE" w:rsidRDefault="00655BAE">
      <w:pPr>
        <w:spacing w:after="60"/>
      </w:pPr>
    </w:p>
    <w:p w14:paraId="4DA1E32A" w14:textId="77777777" w:rsidR="00655BAE" w:rsidRDefault="00000000">
      <w:pPr>
        <w:keepNext/>
        <w:spacing w:before="200" w:after="90"/>
      </w:pPr>
      <w:r>
        <w:rPr>
          <w:b/>
          <w:bCs/>
          <w:color w:val="156082"/>
          <w:sz w:val="23"/>
          <w:szCs w:val="23"/>
        </w:rPr>
        <w:t>Ce qui est couvert</w:t>
      </w:r>
    </w:p>
    <w:p w14:paraId="56949833" w14:textId="6AE1D81A" w:rsidR="00655BAE" w:rsidRDefault="00000000">
      <w:pPr>
        <w:spacing w:after="80" w:line="258" w:lineRule="auto"/>
        <w:ind w:left="360" w:hanging="360"/>
        <w:jc w:val="both"/>
      </w:pPr>
      <w:r>
        <w:rPr>
          <w:b/>
          <w:bCs/>
          <w:color w:val="E97132"/>
          <w:sz w:val="16"/>
          <w:szCs w:val="16"/>
        </w:rPr>
        <w:t xml:space="preserve">▪   </w:t>
      </w:r>
      <w:r>
        <w:rPr>
          <w:b/>
          <w:bCs/>
          <w:color w:val="0E2841"/>
        </w:rPr>
        <w:t xml:space="preserve">Responsabilité individuelle (1.1)   </w:t>
      </w:r>
      <w:r>
        <w:rPr>
          <w:color w:val="1A1A1A"/>
        </w:rPr>
        <w:t>prise en charge directe de la perte d'un dirigeant pour un acte fautif, quand la société ne peut pas l'indemniser.</w:t>
      </w:r>
    </w:p>
    <w:p w14:paraId="1D9FCEF2" w14:textId="752C437F" w:rsidR="00655BAE" w:rsidRDefault="00000000">
      <w:pPr>
        <w:spacing w:after="80" w:line="258" w:lineRule="auto"/>
        <w:ind w:left="360" w:hanging="360"/>
        <w:jc w:val="both"/>
      </w:pPr>
      <w:r>
        <w:rPr>
          <w:b/>
          <w:bCs/>
          <w:color w:val="E97132"/>
          <w:sz w:val="16"/>
          <w:szCs w:val="16"/>
        </w:rPr>
        <w:t xml:space="preserve">▪   </w:t>
      </w:r>
      <w:r>
        <w:rPr>
          <w:b/>
          <w:bCs/>
          <w:color w:val="0E2841"/>
        </w:rPr>
        <w:t xml:space="preserve">Frais d'investigation (1.2 &amp; 1.4)   </w:t>
      </w:r>
      <w:r>
        <w:rPr>
          <w:color w:val="1A1A1A"/>
        </w:rPr>
        <w:t>frais liés à une enquête réglementaire visant un dirigeant, y compris en phase de pré-enquête (sous-limite USD 2 873 563).</w:t>
      </w:r>
    </w:p>
    <w:p w14:paraId="16D2DB67" w14:textId="5DAF062F" w:rsidR="00655BAE" w:rsidRDefault="00000000">
      <w:pPr>
        <w:spacing w:after="80" w:line="258" w:lineRule="auto"/>
        <w:ind w:left="360" w:hanging="360"/>
        <w:jc w:val="both"/>
      </w:pPr>
      <w:r>
        <w:rPr>
          <w:b/>
          <w:bCs/>
          <w:color w:val="E97132"/>
          <w:sz w:val="16"/>
          <w:szCs w:val="16"/>
        </w:rPr>
        <w:t xml:space="preserve">▪   </w:t>
      </w:r>
      <w:r>
        <w:rPr>
          <w:b/>
          <w:bCs/>
          <w:color w:val="0E2841"/>
        </w:rPr>
        <w:t xml:space="preserve">Remboursement de la société (1.3)   </w:t>
      </w:r>
      <w:r>
        <w:rPr>
          <w:color w:val="1A1A1A"/>
        </w:rPr>
        <w:t>l'assureur rembourse la banque des sommes avancées pour défendre ses dirigeants.</w:t>
      </w:r>
    </w:p>
    <w:p w14:paraId="3237CED1" w14:textId="01BEC4D4" w:rsidR="00655BAE" w:rsidRDefault="00000000">
      <w:pPr>
        <w:spacing w:after="80" w:line="258" w:lineRule="auto"/>
        <w:ind w:left="360" w:hanging="360"/>
        <w:jc w:val="both"/>
      </w:pPr>
      <w:r>
        <w:rPr>
          <w:b/>
          <w:bCs/>
          <w:color w:val="E97132"/>
          <w:sz w:val="16"/>
          <w:szCs w:val="16"/>
        </w:rPr>
        <w:t xml:space="preserve">▪   </w:t>
      </w:r>
      <w:r>
        <w:rPr>
          <w:b/>
          <w:bCs/>
          <w:color w:val="0E2841"/>
        </w:rPr>
        <w:t>Extensions notables ; l’</w:t>
      </w:r>
      <w:r>
        <w:rPr>
          <w:color w:val="1A1A1A"/>
        </w:rPr>
        <w:t>administrateur siégeant dans un conseil extérieur, ex-dirigeants (run-off), frais d'urgence (ZAR 20M), caution/liberté, réputation, frais d'extradition, présence comme témoin.</w:t>
      </w:r>
    </w:p>
    <w:p w14:paraId="2205FDF2" w14:textId="77777777" w:rsidR="00655BAE" w:rsidRDefault="00655BAE">
      <w:pPr>
        <w:spacing w:after="40"/>
      </w:pPr>
    </w:p>
    <w:p w14:paraId="5AEBF478" w14:textId="77777777" w:rsidR="00655BAE" w:rsidRDefault="00000000">
      <w:pPr>
        <w:keepNext/>
        <w:spacing w:before="200" w:after="90"/>
      </w:pPr>
      <w:r>
        <w:rPr>
          <w:b/>
          <w:bCs/>
          <w:color w:val="156082"/>
          <w:sz w:val="23"/>
          <w:szCs w:val="23"/>
        </w:rPr>
        <w:t>Principales exclusions</w:t>
      </w:r>
    </w:p>
    <w:p w14:paraId="290E8B58" w14:textId="1602BAA3" w:rsidR="00655BAE" w:rsidRDefault="00000000">
      <w:pPr>
        <w:spacing w:after="70" w:line="260" w:lineRule="auto"/>
        <w:ind w:left="360" w:hanging="200"/>
        <w:jc w:val="both"/>
      </w:pPr>
      <w:r>
        <w:rPr>
          <w:b/>
          <w:bCs/>
          <w:color w:val="E97132"/>
          <w:sz w:val="16"/>
          <w:szCs w:val="16"/>
        </w:rPr>
        <w:t xml:space="preserve">▪   </w:t>
      </w:r>
      <w:r>
        <w:rPr>
          <w:color w:val="1A1A1A"/>
        </w:rPr>
        <w:t>Fraude ou acte malhonnête délibéré (exclu seulement après jugement définitif) ; sinistres déjà notifiés sous une police antérieure.</w:t>
      </w:r>
    </w:p>
    <w:p w14:paraId="2E046A17" w14:textId="0E91A2AE" w:rsidR="00655BAE" w:rsidRDefault="00000000">
      <w:pPr>
        <w:spacing w:after="70" w:line="260" w:lineRule="auto"/>
        <w:ind w:left="360" w:hanging="200"/>
        <w:jc w:val="both"/>
      </w:pPr>
      <w:r>
        <w:rPr>
          <w:b/>
          <w:bCs/>
          <w:color w:val="E97132"/>
          <w:sz w:val="16"/>
          <w:szCs w:val="16"/>
        </w:rPr>
        <w:t xml:space="preserve">▪   </w:t>
      </w:r>
      <w:r>
        <w:rPr>
          <w:color w:val="1A1A1A"/>
        </w:rPr>
        <w:t>Dommages corporels et matériels, pollution (hors frais de défense de l'extension 2.2), contamination nucléaire.</w:t>
      </w:r>
    </w:p>
    <w:p w14:paraId="7A66B3E4" w14:textId="041AA065" w:rsidR="00655BAE" w:rsidRDefault="00000000">
      <w:pPr>
        <w:spacing w:after="70" w:line="260" w:lineRule="auto"/>
        <w:ind w:left="360" w:hanging="200"/>
        <w:jc w:val="both"/>
      </w:pPr>
      <w:r>
        <w:rPr>
          <w:b/>
          <w:bCs/>
          <w:color w:val="E97132"/>
          <w:sz w:val="16"/>
          <w:szCs w:val="16"/>
        </w:rPr>
        <w:t xml:space="preserve">▪   </w:t>
      </w:r>
      <w:r>
        <w:rPr>
          <w:color w:val="1A1A1A"/>
        </w:rPr>
        <w:t>Faute professionnelle envers un client (relève de la police Crime &amp; RC) ; action d'un actionnaire détenant ≥ 25 % du capital.</w:t>
      </w:r>
    </w:p>
    <w:p w14:paraId="5110333B" w14:textId="77777777" w:rsidR="00655BAE" w:rsidRDefault="00655BAE">
      <w:pPr>
        <w:spacing w:after="40"/>
      </w:pPr>
    </w:p>
    <w:tbl>
      <w:tblPr>
        <w:tblW w:w="5000" w:type="pct"/>
        <w:tblBorders>
          <w:top w:val="none" w:sz="0" w:space="0" w:color="FFFFFF"/>
          <w:left w:val="single" w:sz="28" w:space="0" w:color="E97132"/>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805"/>
      </w:tblGrid>
      <w:tr w:rsidR="00655BAE" w14:paraId="5237E30A" w14:textId="77777777">
        <w:tblPrEx>
          <w:tblCellMar>
            <w:top w:w="0" w:type="dxa"/>
            <w:bottom w:w="0" w:type="dxa"/>
          </w:tblCellMar>
        </w:tblPrEx>
        <w:tc>
          <w:tcPr>
            <w:tcW w:w="9360" w:type="dxa"/>
            <w:shd w:val="clear" w:color="auto" w:fill="FBE9DE"/>
            <w:tcMar>
              <w:top w:w="120" w:type="dxa"/>
              <w:left w:w="200" w:type="dxa"/>
              <w:bottom w:w="120" w:type="dxa"/>
              <w:right w:w="160" w:type="dxa"/>
            </w:tcMar>
          </w:tcPr>
          <w:p w14:paraId="758A2C95" w14:textId="77777777" w:rsidR="00655BAE" w:rsidRDefault="00000000">
            <w:pPr>
              <w:spacing w:after="60"/>
            </w:pPr>
            <w:r>
              <w:rPr>
                <w:b/>
                <w:bCs/>
                <w:caps/>
                <w:color w:val="E97132"/>
                <w:sz w:val="20"/>
                <w:szCs w:val="20"/>
              </w:rPr>
              <w:t>Illustration</w:t>
            </w:r>
          </w:p>
          <w:p w14:paraId="50DD3B47" w14:textId="77777777" w:rsidR="00655BAE" w:rsidRDefault="00000000">
            <w:pPr>
              <w:spacing w:line="258" w:lineRule="auto"/>
              <w:jc w:val="both"/>
            </w:pPr>
            <w:r>
              <w:rPr>
                <w:color w:val="1A1A1A"/>
                <w:sz w:val="20"/>
                <w:szCs w:val="20"/>
              </w:rPr>
              <w:t>Un régulateur ouvre une enquête sur une décision du conseil d'administration. Les frais d'avocats des administrateurs concernés sont pris en charge dès le stade de l'enquête, sans franchise pour eux. Si la banque avance ces frais, elle est ensuite remboursée (au-delà de la franchise société).</w:t>
            </w:r>
          </w:p>
        </w:tc>
      </w:tr>
    </w:tbl>
    <w:p w14:paraId="450DE514" w14:textId="77777777" w:rsidR="00655BAE" w:rsidRDefault="00000000">
      <w:r>
        <w:br w:type="page"/>
      </w:r>
    </w:p>
    <w:p w14:paraId="411A0011" w14:textId="0C87E922" w:rsidR="00655BAE" w:rsidRDefault="00000000">
      <w:pPr>
        <w:keepNext/>
        <w:pBdr>
          <w:bottom w:val="single" w:sz="18" w:space="0" w:color="E97132"/>
        </w:pBdr>
        <w:spacing w:before="300" w:after="140"/>
      </w:pPr>
      <w:r>
        <w:rPr>
          <w:b/>
          <w:bCs/>
          <w:color w:val="E97132"/>
          <w:sz w:val="26"/>
          <w:szCs w:val="26"/>
        </w:rPr>
        <w:lastRenderedPageBreak/>
        <w:t xml:space="preserve">4   </w:t>
      </w:r>
      <w:r>
        <w:rPr>
          <w:b/>
          <w:bCs/>
          <w:caps/>
          <w:color w:val="0E2841"/>
          <w:sz w:val="26"/>
          <w:szCs w:val="26"/>
        </w:rPr>
        <w:t>Police Crime &amp; Responsabilité civile</w:t>
      </w:r>
    </w:p>
    <w:p w14:paraId="1D8150D0" w14:textId="7EE7A0A4" w:rsidR="00655BAE" w:rsidRDefault="00000000">
      <w:pPr>
        <w:spacing w:after="120" w:line="264" w:lineRule="auto"/>
        <w:jc w:val="both"/>
      </w:pPr>
      <w:r>
        <w:rPr>
          <w:b/>
          <w:bCs/>
          <w:color w:val="E97132"/>
        </w:rPr>
        <w:t xml:space="preserve">Objet : </w:t>
      </w:r>
      <w:r>
        <w:rPr>
          <w:color w:val="1A1A1A"/>
        </w:rPr>
        <w:t>elle couvre, d'une part, les pertes financières directes causées par la fraude ou des actes criminels (Section 1 Crime), et d'autre part la responsabilité de la banque envers ses clients pour une faute professionnelle (Section 2 Responsabilité civile).</w:t>
      </w:r>
    </w:p>
    <w:tbl>
      <w:tblPr>
        <w:tblW w:w="5000" w:type="pct"/>
        <w:tblBorders>
          <w:top w:val="none" w:sz="0" w:space="0" w:color="FFFFFF"/>
          <w:left w:val="none" w:sz="0" w:space="0" w:color="FFFFFF"/>
          <w:bottom w:val="none" w:sz="0" w:space="0" w:color="FFFFFF"/>
          <w:right w:val="none" w:sz="0" w:space="0" w:color="FFFFFF"/>
          <w:insideH w:val="single" w:sz="4" w:space="0" w:color="D6DEE8"/>
          <w:insideV w:val="none" w:sz="0" w:space="0" w:color="FFFFFF"/>
        </w:tblBorders>
        <w:tblLayout w:type="fixed"/>
        <w:tblCellMar>
          <w:left w:w="10" w:type="dxa"/>
          <w:right w:w="10" w:type="dxa"/>
        </w:tblCellMar>
        <w:tblLook w:val="04A0" w:firstRow="1" w:lastRow="0" w:firstColumn="1" w:lastColumn="0" w:noHBand="0" w:noVBand="1"/>
      </w:tblPr>
      <w:tblGrid>
        <w:gridCol w:w="3364"/>
        <w:gridCol w:w="6476"/>
      </w:tblGrid>
      <w:tr w:rsidR="00655BAE" w14:paraId="2156B04C"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0505FDBA" w14:textId="77777777" w:rsidR="00655BAE" w:rsidRDefault="00000000">
            <w:r>
              <w:rPr>
                <w:b/>
                <w:bCs/>
                <w:color w:val="0E2841"/>
                <w:sz w:val="20"/>
                <w:szCs w:val="20"/>
              </w:rPr>
              <w:t>Contrat SFA Congo</w:t>
            </w:r>
          </w:p>
        </w:tc>
        <w:tc>
          <w:tcPr>
            <w:tcW w:w="6160" w:type="dxa"/>
            <w:tcMar>
              <w:top w:w="70" w:type="dxa"/>
              <w:left w:w="150" w:type="dxa"/>
              <w:bottom w:w="70" w:type="dxa"/>
              <w:right w:w="120" w:type="dxa"/>
            </w:tcMar>
          </w:tcPr>
          <w:p w14:paraId="51E38AF5" w14:textId="77777777" w:rsidR="00655BAE" w:rsidRDefault="00000000">
            <w:r>
              <w:rPr>
                <w:color w:val="1A1A1A"/>
                <w:sz w:val="20"/>
                <w:szCs w:val="20"/>
              </w:rPr>
              <w:t>N° 12002-33002-0023-113-00082079-2025 (autorisation 12002-090023)</w:t>
            </w:r>
          </w:p>
        </w:tc>
      </w:tr>
      <w:tr w:rsidR="00655BAE" w14:paraId="507CD2ED"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15B61E8A" w14:textId="77777777" w:rsidR="00655BAE" w:rsidRDefault="00000000">
            <w:r>
              <w:rPr>
                <w:b/>
                <w:bCs/>
                <w:color w:val="0E2841"/>
                <w:sz w:val="20"/>
                <w:szCs w:val="20"/>
              </w:rPr>
              <w:t>Limite par sinistre</w:t>
            </w:r>
          </w:p>
        </w:tc>
        <w:tc>
          <w:tcPr>
            <w:tcW w:w="6160" w:type="dxa"/>
            <w:tcMar>
              <w:top w:w="70" w:type="dxa"/>
              <w:left w:w="150" w:type="dxa"/>
              <w:bottom w:w="70" w:type="dxa"/>
              <w:right w:w="120" w:type="dxa"/>
            </w:tcMar>
          </w:tcPr>
          <w:p w14:paraId="06BE6030" w14:textId="77777777" w:rsidR="00655BAE" w:rsidRDefault="00000000">
            <w:r>
              <w:rPr>
                <w:color w:val="1A1A1A"/>
                <w:sz w:val="20"/>
                <w:szCs w:val="20"/>
              </w:rPr>
              <w:t>USD 11 494 253, plafonnée à USD 22 988 506 en agrégat</w:t>
            </w:r>
          </w:p>
        </w:tc>
      </w:tr>
      <w:tr w:rsidR="00655BAE" w14:paraId="10107A17"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5FB49E7E" w14:textId="77777777" w:rsidR="00655BAE" w:rsidRDefault="00000000">
            <w:r>
              <w:rPr>
                <w:b/>
                <w:bCs/>
                <w:color w:val="0E2841"/>
                <w:sz w:val="20"/>
                <w:szCs w:val="20"/>
              </w:rPr>
              <w:t>Puis limite additionnelle</w:t>
            </w:r>
          </w:p>
        </w:tc>
        <w:tc>
          <w:tcPr>
            <w:tcW w:w="6160" w:type="dxa"/>
            <w:tcMar>
              <w:top w:w="70" w:type="dxa"/>
              <w:left w:w="150" w:type="dxa"/>
              <w:bottom w:w="70" w:type="dxa"/>
              <w:right w:w="120" w:type="dxa"/>
            </w:tcMar>
          </w:tcPr>
          <w:p w14:paraId="2F314428" w14:textId="77777777" w:rsidR="00655BAE" w:rsidRDefault="00000000">
            <w:r>
              <w:rPr>
                <w:color w:val="1A1A1A"/>
                <w:sz w:val="20"/>
                <w:szCs w:val="20"/>
              </w:rPr>
              <w:t>USD 172 413 793 en agrégat (Crime + Responsabilité civile)</w:t>
            </w:r>
          </w:p>
        </w:tc>
      </w:tr>
      <w:tr w:rsidR="00655BAE" w14:paraId="15BABFFC"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632889BD" w14:textId="77777777" w:rsidR="00655BAE" w:rsidRDefault="00000000">
            <w:r>
              <w:rPr>
                <w:b/>
                <w:bCs/>
                <w:color w:val="0E2841"/>
                <w:sz w:val="20"/>
                <w:szCs w:val="20"/>
              </w:rPr>
              <w:t>Franchise</w:t>
            </w:r>
          </w:p>
        </w:tc>
        <w:tc>
          <w:tcPr>
            <w:tcW w:w="6160" w:type="dxa"/>
            <w:tcMar>
              <w:top w:w="70" w:type="dxa"/>
              <w:left w:w="150" w:type="dxa"/>
              <w:bottom w:w="70" w:type="dxa"/>
              <w:right w:w="120" w:type="dxa"/>
            </w:tcMar>
          </w:tcPr>
          <w:p w14:paraId="2538F925" w14:textId="77777777" w:rsidR="00655BAE" w:rsidRDefault="00000000">
            <w:r>
              <w:rPr>
                <w:color w:val="1A1A1A"/>
                <w:sz w:val="20"/>
                <w:szCs w:val="20"/>
              </w:rPr>
              <w:t>USD 114 943 par sinistre (USD 14 368 pour la responsabilité « Stop Payment Order »)</w:t>
            </w:r>
          </w:p>
        </w:tc>
      </w:tr>
      <w:tr w:rsidR="00655BAE" w14:paraId="0111C7D7"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3863DB39" w14:textId="77777777" w:rsidR="00655BAE" w:rsidRDefault="00000000">
            <w:r>
              <w:rPr>
                <w:b/>
                <w:bCs/>
                <w:color w:val="0E2841"/>
                <w:sz w:val="20"/>
                <w:szCs w:val="20"/>
              </w:rPr>
              <w:t>Territorialité</w:t>
            </w:r>
          </w:p>
        </w:tc>
        <w:tc>
          <w:tcPr>
            <w:tcW w:w="6160" w:type="dxa"/>
            <w:tcMar>
              <w:top w:w="70" w:type="dxa"/>
              <w:left w:w="150" w:type="dxa"/>
              <w:bottom w:w="70" w:type="dxa"/>
              <w:right w:w="120" w:type="dxa"/>
            </w:tcMar>
          </w:tcPr>
          <w:p w14:paraId="69DDE7C8" w14:textId="77777777" w:rsidR="00655BAE" w:rsidRDefault="00000000">
            <w:r>
              <w:rPr>
                <w:color w:val="1A1A1A"/>
                <w:sz w:val="20"/>
                <w:szCs w:val="20"/>
              </w:rPr>
              <w:t>République Démocratique du Congo</w:t>
            </w:r>
          </w:p>
        </w:tc>
      </w:tr>
      <w:tr w:rsidR="00655BAE" w14:paraId="22616E91"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222C30F7" w14:textId="77777777" w:rsidR="00655BAE" w:rsidRDefault="00000000">
            <w:r>
              <w:rPr>
                <w:b/>
                <w:bCs/>
                <w:color w:val="0E2841"/>
                <w:sz w:val="20"/>
                <w:szCs w:val="20"/>
              </w:rPr>
              <w:t>Prime totale (locale)</w:t>
            </w:r>
          </w:p>
        </w:tc>
        <w:tc>
          <w:tcPr>
            <w:tcW w:w="6160" w:type="dxa"/>
            <w:tcMar>
              <w:top w:w="70" w:type="dxa"/>
              <w:left w:w="150" w:type="dxa"/>
              <w:bottom w:w="70" w:type="dxa"/>
              <w:right w:w="120" w:type="dxa"/>
            </w:tcMar>
          </w:tcPr>
          <w:p w14:paraId="145F2D81" w14:textId="77777777" w:rsidR="00655BAE" w:rsidRDefault="00000000">
            <w:r>
              <w:rPr>
                <w:color w:val="1A1A1A"/>
                <w:sz w:val="20"/>
                <w:szCs w:val="20"/>
              </w:rPr>
              <w:t>USD 73 811,86 (nette 62 109,28 + frais 1 521,63 + TVA 10 180,95)</w:t>
            </w:r>
          </w:p>
        </w:tc>
      </w:tr>
    </w:tbl>
    <w:p w14:paraId="0EDB7174" w14:textId="77777777" w:rsidR="00655BAE" w:rsidRDefault="00655BAE">
      <w:pPr>
        <w:spacing w:after="60"/>
      </w:pPr>
    </w:p>
    <w:p w14:paraId="139C36E3" w14:textId="77777777" w:rsidR="00655BAE" w:rsidRDefault="00000000">
      <w:pPr>
        <w:keepNext/>
        <w:spacing w:before="200" w:after="90"/>
      </w:pPr>
      <w:r>
        <w:rPr>
          <w:b/>
          <w:bCs/>
          <w:color w:val="156082"/>
          <w:sz w:val="23"/>
          <w:szCs w:val="23"/>
        </w:rPr>
        <w:t>Section 1 — Crime (pertes financières directes)</w:t>
      </w:r>
    </w:p>
    <w:p w14:paraId="6AF26616" w14:textId="4B521EEA" w:rsidR="00655BAE" w:rsidRDefault="00000000">
      <w:pPr>
        <w:spacing w:after="80" w:line="258" w:lineRule="auto"/>
        <w:ind w:left="360" w:hanging="360"/>
        <w:jc w:val="both"/>
      </w:pPr>
      <w:r>
        <w:rPr>
          <w:b/>
          <w:bCs/>
          <w:color w:val="E97132"/>
          <w:sz w:val="16"/>
          <w:szCs w:val="16"/>
        </w:rPr>
        <w:t xml:space="preserve">▪   </w:t>
      </w:r>
      <w:r>
        <w:rPr>
          <w:b/>
          <w:bCs/>
          <w:color w:val="0E2841"/>
        </w:rPr>
        <w:t xml:space="preserve">Fidélité (fraude interne) ; </w:t>
      </w:r>
      <w:r>
        <w:rPr>
          <w:color w:val="1A1A1A"/>
        </w:rPr>
        <w:t>actes malhonnêtes d'un employé, seul ou en complicité, visant un gain personnel ou à nuire à la banque.</w:t>
      </w:r>
    </w:p>
    <w:p w14:paraId="7043445A" w14:textId="27F2B2F7" w:rsidR="00655BAE" w:rsidRDefault="00000000">
      <w:pPr>
        <w:spacing w:after="80" w:line="258" w:lineRule="auto"/>
        <w:ind w:left="360" w:hanging="360"/>
        <w:jc w:val="both"/>
      </w:pPr>
      <w:r>
        <w:rPr>
          <w:b/>
          <w:bCs/>
          <w:color w:val="E97132"/>
          <w:sz w:val="16"/>
          <w:szCs w:val="16"/>
        </w:rPr>
        <w:t xml:space="preserve">▪ </w:t>
      </w:r>
      <w:r>
        <w:rPr>
          <w:b/>
          <w:bCs/>
          <w:color w:val="0E2841"/>
        </w:rPr>
        <w:t xml:space="preserve">Fraudes documentaires &amp; électroniques ; </w:t>
      </w:r>
      <w:r>
        <w:rPr>
          <w:color w:val="1A1A1A"/>
        </w:rPr>
        <w:t>falsification de chèques/instruments, fausse monnaie, fraude informatique et téléphonique, instructions frauduleuses (fraude au virement / social engineering).</w:t>
      </w:r>
    </w:p>
    <w:p w14:paraId="5FA21792" w14:textId="46D17DA0" w:rsidR="00655BAE" w:rsidRDefault="00000000">
      <w:pPr>
        <w:spacing w:after="80" w:line="258" w:lineRule="auto"/>
        <w:ind w:left="360" w:hanging="360"/>
        <w:jc w:val="both"/>
      </w:pPr>
      <w:r>
        <w:rPr>
          <w:b/>
          <w:bCs/>
          <w:color w:val="E97132"/>
          <w:sz w:val="16"/>
          <w:szCs w:val="16"/>
        </w:rPr>
        <w:t xml:space="preserve">▪   </w:t>
      </w:r>
      <w:r>
        <w:rPr>
          <w:b/>
          <w:bCs/>
          <w:color w:val="0E2841"/>
        </w:rPr>
        <w:t xml:space="preserve">Biens &amp; valeurs ; </w:t>
      </w:r>
      <w:r>
        <w:rPr>
          <w:color w:val="1A1A1A"/>
        </w:rPr>
        <w:t>perte ou vol d'argent et de valeurs en transit ou dans les locaux ; extorsion.</w:t>
      </w:r>
    </w:p>
    <w:p w14:paraId="686F2503" w14:textId="24C87B22" w:rsidR="00655BAE" w:rsidRDefault="00000000">
      <w:pPr>
        <w:spacing w:after="80" w:line="258" w:lineRule="auto"/>
        <w:ind w:left="360" w:hanging="360"/>
        <w:jc w:val="both"/>
      </w:pPr>
      <w:r>
        <w:rPr>
          <w:b/>
          <w:bCs/>
          <w:color w:val="E97132"/>
          <w:sz w:val="16"/>
          <w:szCs w:val="16"/>
        </w:rPr>
        <w:t xml:space="preserve">▪   </w:t>
      </w:r>
      <w:r>
        <w:rPr>
          <w:b/>
          <w:bCs/>
          <w:color w:val="0E2841"/>
        </w:rPr>
        <w:t xml:space="preserve">Frais annexes couverts ;   </w:t>
      </w:r>
      <w:r>
        <w:rPr>
          <w:color w:val="1A1A1A"/>
        </w:rPr>
        <w:t>frais d'expertise et de reconstitution de données, relations publiques (sous-limite USD 862 069), frais d'extorsion.</w:t>
      </w:r>
    </w:p>
    <w:p w14:paraId="0AEBD04A" w14:textId="77777777" w:rsidR="00655BAE" w:rsidRDefault="00655BAE">
      <w:pPr>
        <w:spacing w:after="40"/>
      </w:pPr>
    </w:p>
    <w:p w14:paraId="13A26573" w14:textId="77777777" w:rsidR="00655BAE" w:rsidRDefault="00000000">
      <w:pPr>
        <w:keepNext/>
        <w:spacing w:before="200" w:after="90"/>
      </w:pPr>
      <w:r>
        <w:rPr>
          <w:b/>
          <w:bCs/>
          <w:color w:val="156082"/>
          <w:sz w:val="23"/>
          <w:szCs w:val="23"/>
        </w:rPr>
        <w:t>Section 2 — Responsabilité civile professionnelle</w:t>
      </w:r>
    </w:p>
    <w:p w14:paraId="581AB9F4" w14:textId="461314AD" w:rsidR="00655BAE" w:rsidRDefault="00000000">
      <w:pPr>
        <w:spacing w:after="80" w:line="258" w:lineRule="auto"/>
        <w:ind w:left="360" w:hanging="360"/>
        <w:jc w:val="both"/>
      </w:pPr>
      <w:r>
        <w:rPr>
          <w:b/>
          <w:bCs/>
          <w:color w:val="E97132"/>
          <w:sz w:val="16"/>
          <w:szCs w:val="16"/>
        </w:rPr>
        <w:t xml:space="preserve">▪    </w:t>
      </w:r>
      <w:r>
        <w:rPr>
          <w:b/>
          <w:bCs/>
          <w:color w:val="0E2841"/>
        </w:rPr>
        <w:t xml:space="preserve">Faute professionnelle : </w:t>
      </w:r>
      <w:r>
        <w:rPr>
          <w:color w:val="1A1A1A"/>
        </w:rPr>
        <w:t>réclamations de tiers pour actes, erreurs ou omissions dans la prestation de services bancaires et financiers.</w:t>
      </w:r>
    </w:p>
    <w:p w14:paraId="145CA2EE" w14:textId="6DDCCF02" w:rsidR="00655BAE" w:rsidRDefault="00000000">
      <w:pPr>
        <w:spacing w:after="80" w:line="258" w:lineRule="auto"/>
        <w:ind w:left="360" w:hanging="360"/>
        <w:jc w:val="both"/>
      </w:pPr>
      <w:r>
        <w:rPr>
          <w:b/>
          <w:bCs/>
          <w:color w:val="E97132"/>
          <w:sz w:val="16"/>
          <w:szCs w:val="16"/>
        </w:rPr>
        <w:t xml:space="preserve">▪    </w:t>
      </w:r>
      <w:r>
        <w:rPr>
          <w:b/>
          <w:bCs/>
          <w:color w:val="0E2841"/>
        </w:rPr>
        <w:t xml:space="preserve">Extensions : </w:t>
      </w:r>
      <w:r>
        <w:rPr>
          <w:color w:val="1A1A1A"/>
        </w:rPr>
        <w:t>perte de documents clients, frais de mitigation, frais d'expertise, frais d'investigation, mandats extérieurs, relations publiques.</w:t>
      </w:r>
    </w:p>
    <w:p w14:paraId="40E33D68" w14:textId="77777777" w:rsidR="00655BAE" w:rsidRDefault="00655BAE">
      <w:pPr>
        <w:spacing w:after="40"/>
      </w:pPr>
    </w:p>
    <w:p w14:paraId="68B79A6B" w14:textId="77777777" w:rsidR="00655BAE" w:rsidRDefault="00000000">
      <w:pPr>
        <w:keepNext/>
        <w:spacing w:before="200" w:after="90"/>
      </w:pPr>
      <w:r>
        <w:rPr>
          <w:b/>
          <w:bCs/>
          <w:color w:val="156082"/>
          <w:sz w:val="23"/>
          <w:szCs w:val="23"/>
        </w:rPr>
        <w:t>Principales exclusions</w:t>
      </w:r>
    </w:p>
    <w:p w14:paraId="66ABDA54" w14:textId="4AFE6EB2" w:rsidR="00655BAE" w:rsidRDefault="00000000">
      <w:pPr>
        <w:spacing w:after="70" w:line="260" w:lineRule="auto"/>
        <w:ind w:left="360" w:hanging="200"/>
        <w:jc w:val="both"/>
      </w:pPr>
      <w:r>
        <w:rPr>
          <w:b/>
          <w:bCs/>
          <w:color w:val="E97132"/>
          <w:sz w:val="16"/>
          <w:szCs w:val="16"/>
        </w:rPr>
        <w:t xml:space="preserve">▪   </w:t>
      </w:r>
      <w:r>
        <w:rPr>
          <w:color w:val="1A1A1A"/>
        </w:rPr>
        <w:t>Faits antérieurs connus, actes intentionnels des dirigeants, guerre, sanctions internationales, insolvabilité.</w:t>
      </w:r>
    </w:p>
    <w:p w14:paraId="69E3B216" w14:textId="1DE97CF4" w:rsidR="00655BAE" w:rsidRDefault="00000000">
      <w:pPr>
        <w:spacing w:after="70" w:line="260" w:lineRule="auto"/>
        <w:ind w:left="360" w:hanging="200"/>
        <w:jc w:val="both"/>
      </w:pPr>
      <w:r>
        <w:rPr>
          <w:b/>
          <w:bCs/>
          <w:color w:val="E97132"/>
          <w:sz w:val="16"/>
          <w:szCs w:val="16"/>
        </w:rPr>
        <w:t xml:space="preserve">▪   </w:t>
      </w:r>
      <w:r>
        <w:rPr>
          <w:color w:val="1A1A1A"/>
        </w:rPr>
        <w:t>Section 2 : dommages corporels, pollution, amendes et dommages punitifs, responsabilité contractuelle assumée, conseil sur le droit américain.</w:t>
      </w:r>
    </w:p>
    <w:p w14:paraId="5F33F392" w14:textId="216B71C3" w:rsidR="00655BAE" w:rsidRDefault="00000000">
      <w:pPr>
        <w:spacing w:after="70" w:line="260" w:lineRule="auto"/>
        <w:ind w:left="360" w:hanging="200"/>
        <w:jc w:val="both"/>
      </w:pPr>
      <w:r>
        <w:rPr>
          <w:b/>
          <w:bCs/>
          <w:color w:val="E97132"/>
          <w:sz w:val="16"/>
          <w:szCs w:val="16"/>
        </w:rPr>
        <w:t xml:space="preserve">▪   </w:t>
      </w:r>
      <w:r>
        <w:rPr>
          <w:color w:val="1A1A1A"/>
        </w:rPr>
        <w:t>La cyber-extorsion est renvoyée à la police Cyber (pas de double couverture).</w:t>
      </w:r>
    </w:p>
    <w:p w14:paraId="6714125C" w14:textId="77777777" w:rsidR="00655BAE" w:rsidRDefault="00655BAE">
      <w:pPr>
        <w:spacing w:after="40"/>
      </w:pPr>
    </w:p>
    <w:tbl>
      <w:tblPr>
        <w:tblW w:w="5000" w:type="pct"/>
        <w:tblBorders>
          <w:top w:val="none" w:sz="0" w:space="0" w:color="FFFFFF"/>
          <w:left w:val="single" w:sz="28" w:space="0" w:color="E97132"/>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805"/>
      </w:tblGrid>
      <w:tr w:rsidR="00655BAE" w14:paraId="6910F99A" w14:textId="77777777">
        <w:tblPrEx>
          <w:tblCellMar>
            <w:top w:w="0" w:type="dxa"/>
            <w:bottom w:w="0" w:type="dxa"/>
          </w:tblCellMar>
        </w:tblPrEx>
        <w:tc>
          <w:tcPr>
            <w:tcW w:w="9360" w:type="dxa"/>
            <w:shd w:val="clear" w:color="auto" w:fill="FBE9DE"/>
            <w:tcMar>
              <w:top w:w="120" w:type="dxa"/>
              <w:left w:w="200" w:type="dxa"/>
              <w:bottom w:w="120" w:type="dxa"/>
              <w:right w:w="160" w:type="dxa"/>
            </w:tcMar>
          </w:tcPr>
          <w:p w14:paraId="081149F6" w14:textId="77777777" w:rsidR="00655BAE" w:rsidRDefault="00000000">
            <w:pPr>
              <w:spacing w:after="60"/>
            </w:pPr>
            <w:r>
              <w:rPr>
                <w:b/>
                <w:bCs/>
                <w:caps/>
                <w:color w:val="E97132"/>
                <w:sz w:val="20"/>
                <w:szCs w:val="20"/>
              </w:rPr>
              <w:t>Illustration</w:t>
            </w:r>
          </w:p>
          <w:p w14:paraId="1A4F237C" w14:textId="77777777" w:rsidR="00655BAE" w:rsidRDefault="00000000">
            <w:pPr>
              <w:spacing w:line="258" w:lineRule="auto"/>
              <w:jc w:val="both"/>
            </w:pPr>
            <w:r>
              <w:rPr>
                <w:color w:val="1A1A1A"/>
                <w:sz w:val="20"/>
                <w:szCs w:val="20"/>
              </w:rPr>
              <w:t>Un employé détourne des fonds en complicité avec un tiers : la perte est indemnisée au titre de la Fidélité (Section 1), au-delà de la franchise de USD 114 943. Si un client subit un préjudice à cause d'une erreur de traitement de la banque et engage sa responsabilité, c'est la Section 2 qui intervient.</w:t>
            </w:r>
          </w:p>
        </w:tc>
      </w:tr>
    </w:tbl>
    <w:p w14:paraId="4B447391" w14:textId="77777777" w:rsidR="00655BAE" w:rsidRDefault="00000000">
      <w:r>
        <w:br w:type="page"/>
      </w:r>
    </w:p>
    <w:p w14:paraId="1C126DBA" w14:textId="31F80681" w:rsidR="00655BAE" w:rsidRDefault="00000000">
      <w:pPr>
        <w:keepNext/>
        <w:pBdr>
          <w:bottom w:val="single" w:sz="18" w:space="0" w:color="E97132"/>
        </w:pBdr>
        <w:spacing w:before="300" w:after="140"/>
      </w:pPr>
      <w:r>
        <w:rPr>
          <w:b/>
          <w:bCs/>
          <w:color w:val="E97132"/>
          <w:sz w:val="26"/>
          <w:szCs w:val="26"/>
        </w:rPr>
        <w:lastRenderedPageBreak/>
        <w:t xml:space="preserve">5   </w:t>
      </w:r>
      <w:r>
        <w:rPr>
          <w:b/>
          <w:bCs/>
          <w:caps/>
          <w:color w:val="0E2841"/>
          <w:sz w:val="26"/>
          <w:szCs w:val="26"/>
        </w:rPr>
        <w:t>Police Cyber</w:t>
      </w:r>
    </w:p>
    <w:p w14:paraId="0A082934" w14:textId="38F54C57" w:rsidR="00655BAE" w:rsidRDefault="00000000">
      <w:pPr>
        <w:spacing w:after="120" w:line="264" w:lineRule="auto"/>
        <w:jc w:val="both"/>
      </w:pPr>
      <w:r>
        <w:rPr>
          <w:b/>
          <w:bCs/>
          <w:color w:val="E97132"/>
        </w:rPr>
        <w:t xml:space="preserve">Objet : </w:t>
      </w:r>
      <w:r>
        <w:rPr>
          <w:color w:val="1A1A1A"/>
        </w:rPr>
        <w:t xml:space="preserve">elle couvre les conséquences d'un incident informatique ; gestion de la crise, interruption d'activité et responsabilité envers les tiers dont les données ont été compromises.</w:t>
      </w:r>
    </w:p>
    <w:tbl>
      <w:tblPr>
        <w:tblW w:w="5000" w:type="pct"/>
        <w:tblBorders>
          <w:top w:val="none" w:sz="0" w:space="0" w:color="FFFFFF"/>
          <w:left w:val="none" w:sz="0" w:space="0" w:color="FFFFFF"/>
          <w:bottom w:val="none" w:sz="0" w:space="0" w:color="FFFFFF"/>
          <w:right w:val="none" w:sz="0" w:space="0" w:color="FFFFFF"/>
          <w:insideH w:val="single" w:sz="4" w:space="0" w:color="D6DEE8"/>
          <w:insideV w:val="none" w:sz="0" w:space="0" w:color="FFFFFF"/>
        </w:tblBorders>
        <w:tblLayout w:type="fixed"/>
        <w:tblCellMar>
          <w:left w:w="10" w:type="dxa"/>
          <w:right w:w="10" w:type="dxa"/>
        </w:tblCellMar>
        <w:tblLook w:val="04A0" w:firstRow="1" w:lastRow="0" w:firstColumn="1" w:lastColumn="0" w:noHBand="0" w:noVBand="1"/>
      </w:tblPr>
      <w:tblGrid>
        <w:gridCol w:w="3364"/>
        <w:gridCol w:w="6476"/>
      </w:tblGrid>
      <w:tr w:rsidR="00655BAE" w14:paraId="4B4F9034"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76215EF1" w14:textId="77777777" w:rsidR="00655BAE" w:rsidRDefault="00000000">
            <w:r>
              <w:rPr>
                <w:b/>
                <w:bCs/>
                <w:color w:val="0E2841"/>
                <w:sz w:val="20"/>
                <w:szCs w:val="20"/>
              </w:rPr>
              <w:t>Contrat SFA Congo</w:t>
            </w:r>
          </w:p>
        </w:tc>
        <w:tc>
          <w:tcPr>
            <w:tcW w:w="6160" w:type="dxa"/>
            <w:tcMar>
              <w:top w:w="70" w:type="dxa"/>
              <w:left w:w="150" w:type="dxa"/>
              <w:bottom w:w="70" w:type="dxa"/>
              <w:right w:w="120" w:type="dxa"/>
            </w:tcMar>
          </w:tcPr>
          <w:p w14:paraId="79444673" w14:textId="77777777" w:rsidR="00655BAE" w:rsidRDefault="00000000">
            <w:r>
              <w:rPr>
                <w:color w:val="1A1A1A"/>
                <w:sz w:val="20"/>
                <w:szCs w:val="20"/>
              </w:rPr>
              <w:t>N° 12002-33002-0023-113-00082080-2025 (autorisation 12002-090023)</w:t>
            </w:r>
          </w:p>
        </w:tc>
      </w:tr>
      <w:tr w:rsidR="00655BAE" w14:paraId="692349A4"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465C006B" w14:textId="77777777" w:rsidR="00655BAE" w:rsidRDefault="00000000">
            <w:r>
              <w:rPr>
                <w:b/>
                <w:bCs/>
                <w:color w:val="0E2841"/>
                <w:sz w:val="20"/>
                <w:szCs w:val="20"/>
              </w:rPr>
              <w:t>Limite par événement</w:t>
            </w:r>
          </w:p>
        </w:tc>
        <w:tc>
          <w:tcPr>
            <w:tcW w:w="6160" w:type="dxa"/>
            <w:tcMar>
              <w:top w:w="70" w:type="dxa"/>
              <w:left w:w="150" w:type="dxa"/>
              <w:bottom w:w="70" w:type="dxa"/>
              <w:right w:w="120" w:type="dxa"/>
            </w:tcMar>
          </w:tcPr>
          <w:p w14:paraId="5288E76E" w14:textId="77777777" w:rsidR="00655BAE" w:rsidRDefault="00000000">
            <w:r>
              <w:rPr>
                <w:color w:val="1A1A1A"/>
                <w:sz w:val="20"/>
                <w:szCs w:val="20"/>
              </w:rPr>
              <w:t>USD 1 867 816 par cause ou événement</w:t>
            </w:r>
          </w:p>
        </w:tc>
      </w:tr>
      <w:tr w:rsidR="00655BAE" w14:paraId="78A19F87"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09CCFAE3" w14:textId="77777777" w:rsidR="00655BAE" w:rsidRDefault="00000000">
            <w:r>
              <w:rPr>
                <w:b/>
                <w:bCs/>
                <w:color w:val="0E2841"/>
                <w:sz w:val="20"/>
                <w:szCs w:val="20"/>
              </w:rPr>
              <w:t>Limite globale</w:t>
            </w:r>
          </w:p>
        </w:tc>
        <w:tc>
          <w:tcPr>
            <w:tcW w:w="6160" w:type="dxa"/>
            <w:tcMar>
              <w:top w:w="70" w:type="dxa"/>
              <w:left w:w="150" w:type="dxa"/>
              <w:bottom w:w="70" w:type="dxa"/>
              <w:right w:w="120" w:type="dxa"/>
            </w:tcMar>
          </w:tcPr>
          <w:p w14:paraId="17C195EF" w14:textId="77777777" w:rsidR="00655BAE" w:rsidRDefault="00000000">
            <w:r>
              <w:rPr>
                <w:color w:val="1A1A1A"/>
                <w:sz w:val="20"/>
                <w:szCs w:val="20"/>
              </w:rPr>
              <w:t>USD 8 620 690 en agrégat, puis limite additionnelle de USD 114 942 529</w:t>
            </w:r>
          </w:p>
        </w:tc>
      </w:tr>
      <w:tr w:rsidR="00655BAE" w14:paraId="56FF5E70"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6B71F69A" w14:textId="77777777" w:rsidR="00655BAE" w:rsidRDefault="00000000">
            <w:r>
              <w:rPr>
                <w:b/>
                <w:bCs/>
                <w:color w:val="0E2841"/>
                <w:sz w:val="20"/>
                <w:szCs w:val="20"/>
              </w:rPr>
              <w:t>Réintégration</w:t>
            </w:r>
          </w:p>
        </w:tc>
        <w:tc>
          <w:tcPr>
            <w:tcW w:w="6160" w:type="dxa"/>
            <w:tcMar>
              <w:top w:w="70" w:type="dxa"/>
              <w:left w:w="150" w:type="dxa"/>
              <w:bottom w:w="70" w:type="dxa"/>
              <w:right w:w="120" w:type="dxa"/>
            </w:tcMar>
          </w:tcPr>
          <w:p w14:paraId="0E0E55D4" w14:textId="77777777" w:rsidR="00655BAE" w:rsidRDefault="00000000">
            <w:r>
              <w:rPr>
                <w:color w:val="1A1A1A"/>
                <w:sz w:val="20"/>
                <w:szCs w:val="20"/>
              </w:rPr>
              <w:t>ZAR 560 000 000 (≈ USD 32 183 908) sans prime supplémentaire, sauf même cause</w:t>
            </w:r>
          </w:p>
        </w:tc>
      </w:tr>
      <w:tr w:rsidR="00655BAE" w14:paraId="0B9B1872"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1DD6BFEA" w14:textId="77777777" w:rsidR="00655BAE" w:rsidRDefault="00000000">
            <w:r>
              <w:rPr>
                <w:b/>
                <w:bCs/>
                <w:color w:val="0E2841"/>
                <w:sz w:val="20"/>
                <w:szCs w:val="20"/>
              </w:rPr>
              <w:t>Franchise (rétention)</w:t>
            </w:r>
          </w:p>
        </w:tc>
        <w:tc>
          <w:tcPr>
            <w:tcW w:w="6160" w:type="dxa"/>
            <w:tcMar>
              <w:top w:w="70" w:type="dxa"/>
              <w:left w:w="150" w:type="dxa"/>
              <w:bottom w:w="70" w:type="dxa"/>
              <w:right w:w="120" w:type="dxa"/>
            </w:tcMar>
          </w:tcPr>
          <w:p w14:paraId="528D2396" w14:textId="77777777" w:rsidR="00655BAE" w:rsidRDefault="00000000">
            <w:r>
              <w:rPr>
                <w:color w:val="1A1A1A"/>
                <w:sz w:val="20"/>
                <w:szCs w:val="20"/>
              </w:rPr>
              <w:t>USD 287 356 par garantie (portée à USD 2 155 172 après épuisement de la 1re tranche)</w:t>
            </w:r>
          </w:p>
        </w:tc>
      </w:tr>
      <w:tr w:rsidR="00655BAE" w14:paraId="4548AFBF"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580596EB" w14:textId="77777777" w:rsidR="00655BAE" w:rsidRDefault="00000000">
            <w:r>
              <w:rPr>
                <w:b/>
                <w:bCs/>
                <w:color w:val="0E2841"/>
                <w:sz w:val="20"/>
                <w:szCs w:val="20"/>
              </w:rPr>
              <w:t>Territorialité / rétroactivité</w:t>
            </w:r>
          </w:p>
        </w:tc>
        <w:tc>
          <w:tcPr>
            <w:tcW w:w="6160" w:type="dxa"/>
            <w:tcMar>
              <w:top w:w="70" w:type="dxa"/>
              <w:left w:w="150" w:type="dxa"/>
              <w:bottom w:w="70" w:type="dxa"/>
              <w:right w:w="120" w:type="dxa"/>
            </w:tcMar>
          </w:tcPr>
          <w:p w14:paraId="697B967A" w14:textId="77777777" w:rsidR="00655BAE" w:rsidRDefault="00000000">
            <w:r>
              <w:rPr>
                <w:color w:val="1A1A1A"/>
                <w:sz w:val="20"/>
                <w:szCs w:val="20"/>
              </w:rPr>
              <w:t>Monde entier ; date rétroactive : 30 juin 2017</w:t>
            </w:r>
          </w:p>
        </w:tc>
      </w:tr>
      <w:tr w:rsidR="00655BAE" w14:paraId="09848E94" w14:textId="77777777">
        <w:tblPrEx>
          <w:tblCellMar>
            <w:top w:w="0" w:type="dxa"/>
            <w:bottom w:w="0" w:type="dxa"/>
          </w:tblCellMar>
        </w:tblPrEx>
        <w:tc>
          <w:tcPr>
            <w:tcW w:w="3200" w:type="dxa"/>
            <w:shd w:val="clear" w:color="auto" w:fill="EEF2F7"/>
            <w:tcMar>
              <w:top w:w="70" w:type="dxa"/>
              <w:left w:w="150" w:type="dxa"/>
              <w:bottom w:w="70" w:type="dxa"/>
              <w:right w:w="100" w:type="dxa"/>
            </w:tcMar>
          </w:tcPr>
          <w:p w14:paraId="108AFBAB" w14:textId="77777777" w:rsidR="00655BAE" w:rsidRDefault="00000000">
            <w:r>
              <w:rPr>
                <w:b/>
                <w:bCs/>
                <w:color w:val="0E2841"/>
                <w:sz w:val="20"/>
                <w:szCs w:val="20"/>
              </w:rPr>
              <w:t>Prime totale (locale)</w:t>
            </w:r>
          </w:p>
        </w:tc>
        <w:tc>
          <w:tcPr>
            <w:tcW w:w="6160" w:type="dxa"/>
            <w:tcMar>
              <w:top w:w="70" w:type="dxa"/>
              <w:left w:w="150" w:type="dxa"/>
              <w:bottom w:w="70" w:type="dxa"/>
              <w:right w:w="120" w:type="dxa"/>
            </w:tcMar>
          </w:tcPr>
          <w:p w14:paraId="3EE59B53" w14:textId="77777777" w:rsidR="00655BAE" w:rsidRDefault="00000000">
            <w:r>
              <w:rPr>
                <w:color w:val="1A1A1A"/>
                <w:sz w:val="20"/>
                <w:szCs w:val="20"/>
              </w:rPr>
              <w:t>USD 17 102,70 (nette 14 383,49 + frais 360,22 + TVA 2 358,99)</w:t>
            </w:r>
          </w:p>
        </w:tc>
      </w:tr>
    </w:tbl>
    <w:p w14:paraId="3D5E8BEC" w14:textId="77777777" w:rsidR="00655BAE" w:rsidRDefault="00655BAE">
      <w:pPr>
        <w:spacing w:after="60"/>
      </w:pPr>
    </w:p>
    <w:p w14:paraId="6F2AB380" w14:textId="77777777" w:rsidR="00655BAE" w:rsidRDefault="00000000">
      <w:pPr>
        <w:keepNext/>
        <w:spacing w:before="200" w:after="90"/>
      </w:pPr>
      <w:r>
        <w:rPr>
          <w:b/>
          <w:bCs/>
          <w:color w:val="156082"/>
          <w:sz w:val="23"/>
          <w:szCs w:val="23"/>
        </w:rPr>
        <w:t>Ce qui est couvert</w:t>
      </w:r>
    </w:p>
    <w:p w14:paraId="54351C60" w14:textId="7F3155DE" w:rsidR="00655BAE" w:rsidRDefault="00000000">
      <w:pPr>
        <w:spacing w:after="80" w:line="258" w:lineRule="auto"/>
        <w:ind w:left="360" w:hanging="360"/>
        <w:jc w:val="both"/>
      </w:pPr>
      <w:r>
        <w:rPr>
          <w:b/>
          <w:bCs/>
          <w:color w:val="E97132"/>
          <w:sz w:val="16"/>
          <w:szCs w:val="16"/>
        </w:rPr>
        <w:t xml:space="preserve">▪     </w:t>
      </w:r>
      <w:r>
        <w:rPr>
          <w:b/>
          <w:bCs/>
          <w:color w:val="0E2841"/>
        </w:rPr>
        <w:t xml:space="preserve">Réponse à l'incident ; </w:t>
      </w:r>
      <w:r>
        <w:rPr>
          <w:color w:val="1A1A1A"/>
        </w:rPr>
        <w:t>investigation (forensics), frais juridiques, notification aux régulateurs et personnes affectées, call center, surveillance de crédit, relations publiques, rançon cyber et restauration des données.</w:t>
      </w:r>
    </w:p>
    <w:p w14:paraId="148E77DA" w14:textId="555E3287" w:rsidR="00655BAE" w:rsidRDefault="00000000">
      <w:pPr>
        <w:spacing w:after="80" w:line="258" w:lineRule="auto"/>
        <w:ind w:left="360" w:hanging="360"/>
        <w:jc w:val="both"/>
      </w:pPr>
      <w:r>
        <w:rPr>
          <w:b/>
          <w:bCs/>
          <w:color w:val="E97132"/>
          <w:sz w:val="16"/>
          <w:szCs w:val="16"/>
        </w:rPr>
        <w:t xml:space="preserve">▪    </w:t>
      </w:r>
      <w:r>
        <w:rPr>
          <w:b/>
          <w:bCs/>
          <w:color w:val="0E2841"/>
        </w:rPr>
        <w:t xml:space="preserve">Interruption d'activité ; </w:t>
      </w:r>
      <w:r>
        <w:rPr>
          <w:color w:val="1A1A1A"/>
        </w:rPr>
        <w:t>perte de revenus et surcoûts pendant l'indisponibilité des systèmes — y compris lorsqu'elle provient d'un prestataire externe (cloud, hébergeur).</w:t>
      </w:r>
    </w:p>
    <w:p w14:paraId="3898AC07" w14:textId="0210B0E0" w:rsidR="00655BAE" w:rsidRDefault="00000000">
      <w:pPr>
        <w:spacing w:after="80" w:line="258" w:lineRule="auto"/>
        <w:ind w:left="360" w:hanging="360"/>
        <w:jc w:val="both"/>
      </w:pPr>
      <w:r>
        <w:rPr>
          <w:b/>
          <w:bCs/>
          <w:color w:val="E97132"/>
          <w:sz w:val="16"/>
          <w:szCs w:val="16"/>
        </w:rPr>
        <w:t xml:space="preserve">▪   </w:t>
      </w:r>
      <w:r>
        <w:rPr>
          <w:b/>
          <w:bCs/>
          <w:color w:val="0E2841"/>
        </w:rPr>
        <w:t xml:space="preserve">Responsabilité civile cyber ; </w:t>
      </w:r>
      <w:r>
        <w:rPr>
          <w:color w:val="1A1A1A"/>
        </w:rPr>
        <w:t>réclamations de tiers après une violation de données ou une cyber-attaque (dommages, frais de défense).</w:t>
      </w:r>
    </w:p>
    <w:p w14:paraId="540C6D78" w14:textId="1D229612" w:rsidR="00655BAE" w:rsidRDefault="00000000">
      <w:pPr>
        <w:spacing w:after="80" w:line="258" w:lineRule="auto"/>
        <w:ind w:left="360" w:hanging="360"/>
        <w:jc w:val="both"/>
      </w:pPr>
      <w:r>
        <w:rPr>
          <w:b/>
          <w:bCs/>
          <w:color w:val="E97132"/>
          <w:sz w:val="16"/>
          <w:szCs w:val="16"/>
        </w:rPr>
        <w:t xml:space="preserve">▪   </w:t>
      </w:r>
      <w:r>
        <w:rPr>
          <w:b/>
          <w:bCs/>
          <w:color w:val="0E2841"/>
        </w:rPr>
        <w:t xml:space="preserve">Action réglementaire &amp; médias numériques ; </w:t>
      </w:r>
      <w:r>
        <w:rPr>
          <w:color w:val="1A1A1A"/>
        </w:rPr>
        <w:t>amendes légalement assurables et frais liés à une action d'un régulateur ; atteintes à la PI dans les contenus publiés en ligne.</w:t>
      </w:r>
    </w:p>
    <w:p w14:paraId="7BD08821" w14:textId="77777777" w:rsidR="00655BAE" w:rsidRDefault="00655BAE">
      <w:pPr>
        <w:spacing w:after="40"/>
      </w:pPr>
    </w:p>
    <w:p w14:paraId="0A035DA4" w14:textId="77777777" w:rsidR="00655BAE" w:rsidRDefault="00000000">
      <w:pPr>
        <w:keepNext/>
        <w:spacing w:before="200" w:after="90"/>
      </w:pPr>
      <w:r>
        <w:rPr>
          <w:b/>
          <w:bCs/>
          <w:color w:val="156082"/>
          <w:sz w:val="23"/>
          <w:szCs w:val="23"/>
        </w:rPr>
        <w:t>Principales exclusions</w:t>
      </w:r>
    </w:p>
    <w:p w14:paraId="3E2C1599" w14:textId="22B812AC" w:rsidR="00655BAE" w:rsidRDefault="00000000">
      <w:pPr>
        <w:spacing w:after="70" w:line="260" w:lineRule="auto"/>
        <w:ind w:left="360" w:hanging="200"/>
        <w:jc w:val="both"/>
      </w:pPr>
      <w:r>
        <w:rPr>
          <w:b/>
          <w:bCs/>
          <w:color w:val="E97132"/>
          <w:sz w:val="16"/>
          <w:szCs w:val="16"/>
        </w:rPr>
        <w:t xml:space="preserve">▪   </w:t>
      </w:r>
      <w:r>
        <w:rPr>
          <w:color w:val="1A1A1A"/>
        </w:rPr>
        <w:t>Dommages corporels et matériels physiques, pertes monétaires directes (fonds, crypto), fraude délibérée des dirigeants.</w:t>
      </w:r>
    </w:p>
    <w:p w14:paraId="3C457130" w14:textId="0AB10F0E" w:rsidR="00655BAE" w:rsidRDefault="00000000">
      <w:pPr>
        <w:spacing w:after="70" w:line="260" w:lineRule="auto"/>
        <w:ind w:left="360" w:hanging="200"/>
        <w:jc w:val="both"/>
      </w:pPr>
      <w:r>
        <w:rPr>
          <w:b/>
          <w:bCs/>
          <w:color w:val="E97132"/>
          <w:sz w:val="16"/>
          <w:szCs w:val="16"/>
        </w:rPr>
        <w:t xml:space="preserve">▪   </w:t>
      </w:r>
      <w:r>
        <w:rPr>
          <w:color w:val="1A1A1A"/>
        </w:rPr>
        <w:t>Responsabilité D&amp;O (couverte séparément), faits connus avant la police, insolvabilité.</w:t>
      </w:r>
    </w:p>
    <w:p w14:paraId="4F1419C6" w14:textId="459B32E6" w:rsidR="00655BAE" w:rsidRDefault="00000000">
      <w:pPr>
        <w:spacing w:after="70" w:line="260" w:lineRule="auto"/>
        <w:ind w:left="360" w:hanging="200"/>
        <w:jc w:val="both"/>
      </w:pPr>
      <w:r>
        <w:rPr>
          <w:b/>
          <w:bCs/>
          <w:color w:val="E97132"/>
          <w:sz w:val="16"/>
          <w:szCs w:val="16"/>
        </w:rPr>
        <w:t xml:space="preserve">▪   </w:t>
      </w:r>
      <w:r>
        <w:rPr>
          <w:color w:val="1A1A1A"/>
        </w:rPr>
        <w:t>Opérations de guerre et cyber-opérations étatiques (clause LMA5567A).</w:t>
      </w:r>
    </w:p>
    <w:p w14:paraId="512DAAE1" w14:textId="77777777" w:rsidR="00655BAE" w:rsidRDefault="00655BAE">
      <w:pPr>
        <w:spacing w:after="40"/>
      </w:pPr>
    </w:p>
    <w:tbl>
      <w:tblPr>
        <w:tblW w:w="5000" w:type="pct"/>
        <w:tblBorders>
          <w:top w:val="none" w:sz="0" w:space="0" w:color="FFFFFF"/>
          <w:left w:val="single" w:sz="28" w:space="0" w:color="156082"/>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805"/>
      </w:tblGrid>
      <w:tr w:rsidR="00655BAE" w14:paraId="1E71850C" w14:textId="77777777">
        <w:tblPrEx>
          <w:tblCellMar>
            <w:top w:w="0" w:type="dxa"/>
            <w:bottom w:w="0" w:type="dxa"/>
          </w:tblCellMar>
        </w:tblPrEx>
        <w:tc>
          <w:tcPr>
            <w:tcW w:w="9360" w:type="dxa"/>
            <w:shd w:val="clear" w:color="auto" w:fill="EEF2F7"/>
            <w:tcMar>
              <w:top w:w="120" w:type="dxa"/>
              <w:left w:w="200" w:type="dxa"/>
              <w:bottom w:w="120" w:type="dxa"/>
              <w:right w:w="160" w:type="dxa"/>
            </w:tcMar>
          </w:tcPr>
          <w:p w14:paraId="60014D6E" w14:textId="77777777" w:rsidR="00655BAE" w:rsidRDefault="00000000">
            <w:pPr>
              <w:spacing w:after="60"/>
            </w:pPr>
            <w:r>
              <w:rPr>
                <w:b/>
                <w:bCs/>
                <w:caps/>
                <w:color w:val="156082"/>
                <w:sz w:val="20"/>
                <w:szCs w:val="20"/>
              </w:rPr>
              <w:t>Prestataires pré-approuvés</w:t>
            </w:r>
          </w:p>
          <w:p w14:paraId="2D04710B" w14:textId="77777777" w:rsidR="00655BAE" w:rsidRDefault="00000000">
            <w:pPr>
              <w:spacing w:line="258" w:lineRule="auto"/>
              <w:jc w:val="both"/>
            </w:pPr>
            <w:r>
              <w:rPr>
                <w:color w:val="1A1A1A"/>
                <w:sz w:val="20"/>
                <w:szCs w:val="20"/>
              </w:rPr>
              <w:t xml:space="preserve">En cas d'incident, deux prestataires sont déjà agréés par l'assureur, ce qui accélère la réponse : Edward Nathan Sonnenbergs (juridique) et MWR CyberSec (sécurité informatique). Leur intervention reste toutefois soumise à l'accord écrit préalable de l'assureur.</w:t>
            </w:r>
          </w:p>
        </w:tc>
      </w:tr>
    </w:tbl>
    <w:p w14:paraId="0409CCDE" w14:textId="77777777" w:rsidR="00655BAE" w:rsidRDefault="00000000">
      <w:r>
        <w:br w:type="page"/>
      </w:r>
    </w:p>
    <w:p w14:paraId="07051A46" w14:textId="0A9ADD6B" w:rsidR="00655BAE" w:rsidRDefault="00000000">
      <w:pPr>
        <w:keepNext/>
        <w:pBdr>
          <w:bottom w:val="single" w:sz="18" w:space="0" w:color="E97132"/>
        </w:pBdr>
        <w:spacing w:before="300" w:after="140"/>
      </w:pPr>
      <w:r>
        <w:rPr>
          <w:b/>
          <w:bCs/>
          <w:color w:val="E97132"/>
          <w:sz w:val="26"/>
          <w:szCs w:val="26"/>
        </w:rPr>
        <w:lastRenderedPageBreak/>
        <w:t xml:space="preserve">6   </w:t>
      </w:r>
      <w:r>
        <w:rPr>
          <w:b/>
          <w:bCs/>
          <w:caps/>
          <w:color w:val="0E2841"/>
          <w:sz w:val="26"/>
          <w:szCs w:val="26"/>
        </w:rPr>
        <w:t>Points communs aux trois polices</w:t>
      </w:r>
    </w:p>
    <w:p w14:paraId="69CD96B1" w14:textId="0C9B956F" w:rsidR="00655BAE" w:rsidRDefault="00000000">
      <w:pPr>
        <w:spacing w:after="80" w:line="258" w:lineRule="auto"/>
        <w:ind w:left="360" w:hanging="360"/>
        <w:jc w:val="both"/>
      </w:pPr>
      <w:r>
        <w:rPr>
          <w:b/>
          <w:bCs/>
          <w:color w:val="E97132"/>
          <w:sz w:val="16"/>
          <w:szCs w:val="16"/>
        </w:rPr>
        <w:t xml:space="preserve">▪   </w:t>
      </w:r>
      <w:r>
        <w:rPr>
          <w:b/>
          <w:bCs/>
          <w:color w:val="0E2841"/>
        </w:rPr>
        <w:t xml:space="preserve">Limite unique de Groupe (Interlocking Clause) : </w:t>
      </w:r>
      <w:r>
        <w:rPr>
          <w:color w:val="1A1A1A"/>
        </w:rPr>
        <w:t>les limites s'appliquent au Groupe Standard Bank dans son ensemble et peuvent être « entamées » par d'autres entités du Groupe. La couverture DRC partage donc l'enveloppe globale.</w:t>
      </w:r>
    </w:p>
    <w:p w14:paraId="0F1AE509" w14:textId="7D0F7B47" w:rsidR="00655BAE" w:rsidRDefault="00000000">
      <w:pPr>
        <w:spacing w:after="80" w:line="258" w:lineRule="auto"/>
        <w:ind w:left="360" w:hanging="360"/>
        <w:jc w:val="both"/>
      </w:pPr>
      <w:r>
        <w:rPr>
          <w:b/>
          <w:bCs/>
          <w:color w:val="E97132"/>
          <w:sz w:val="16"/>
          <w:szCs w:val="16"/>
        </w:rPr>
        <w:t xml:space="preserve">▪   </w:t>
      </w:r>
      <w:r>
        <w:rPr>
          <w:b/>
          <w:bCs/>
          <w:color w:val="0E2841"/>
        </w:rPr>
        <w:t xml:space="preserve">Clause de sanctions internationales : </w:t>
      </w:r>
      <w:r>
        <w:rPr>
          <w:color w:val="1A1A1A"/>
        </w:rPr>
        <w:t>aucune garantie n'est due si elle exposait l'assureur à une sanction (ONU, UE, Royaume-Uni, États-Unis, législation nationale).</w:t>
      </w:r>
    </w:p>
    <w:p w14:paraId="15D150DB" w14:textId="00E082F7" w:rsidR="00655BAE" w:rsidRDefault="00000000">
      <w:pPr>
        <w:spacing w:after="80" w:line="258" w:lineRule="auto"/>
        <w:ind w:left="360" w:hanging="360"/>
        <w:jc w:val="both"/>
      </w:pPr>
      <w:r>
        <w:rPr>
          <w:b/>
          <w:bCs/>
          <w:color w:val="E97132"/>
          <w:sz w:val="16"/>
          <w:szCs w:val="16"/>
        </w:rPr>
        <w:t xml:space="preserve">▪   </w:t>
      </w:r>
      <w:r>
        <w:rPr>
          <w:b/>
          <w:bCs/>
          <w:color w:val="0E2841"/>
        </w:rPr>
        <w:t xml:space="preserve">Exclusion des maladies transmissibles : </w:t>
      </w:r>
      <w:r>
        <w:rPr>
          <w:color w:val="1A1A1A"/>
        </w:rPr>
        <w:t>les pertes liées à une maladie transmissible (dont la COVID-19) sont exclues.</w:t>
      </w:r>
    </w:p>
    <w:p w14:paraId="1A179915" w14:textId="0D42D73C" w:rsidR="00655BAE" w:rsidRDefault="00000000">
      <w:pPr>
        <w:spacing w:after="80" w:line="258" w:lineRule="auto"/>
        <w:ind w:left="360" w:hanging="360"/>
        <w:jc w:val="both"/>
      </w:pPr>
      <w:r>
        <w:rPr>
          <w:b/>
          <w:bCs/>
          <w:color w:val="E97132"/>
          <w:sz w:val="16"/>
          <w:szCs w:val="16"/>
        </w:rPr>
        <w:t xml:space="preserve">▪   </w:t>
      </w:r>
      <w:r>
        <w:rPr>
          <w:b/>
          <w:bCs/>
          <w:color w:val="0E2841"/>
        </w:rPr>
        <w:t xml:space="preserve">Paiement de la prime : </w:t>
      </w:r>
      <w:r>
        <w:rPr>
          <w:color w:val="1A1A1A"/>
        </w:rPr>
        <w:t>à régler dans les 90 jours suivant la prise d'effet ; à défaut, résiliation possible avec préavis (15 jours pour le cyber).</w:t>
      </w:r>
    </w:p>
    <w:p w14:paraId="165884F6" w14:textId="2FCE4F0D" w:rsidR="00655BAE" w:rsidRDefault="00000000">
      <w:pPr>
        <w:spacing w:after="80" w:line="258" w:lineRule="auto"/>
        <w:ind w:left="360" w:hanging="360"/>
        <w:jc w:val="both"/>
      </w:pPr>
      <w:r>
        <w:rPr>
          <w:b/>
          <w:bCs/>
          <w:color w:val="E97132"/>
          <w:sz w:val="16"/>
          <w:szCs w:val="16"/>
        </w:rPr>
        <w:t xml:space="preserve">▪   </w:t>
      </w:r>
      <w:r>
        <w:rPr>
          <w:b/>
          <w:bCs/>
          <w:color w:val="0E2841"/>
        </w:rPr>
        <w:t xml:space="preserve">Résiliation &amp; prime au prorata : </w:t>
      </w:r>
      <w:r>
        <w:rPr>
          <w:color w:val="1A1A1A"/>
        </w:rPr>
        <w:t>en cas de cessation d'activité de l'assureur, restitution de prime au prorata de la période non courue.</w:t>
      </w:r>
    </w:p>
    <w:p w14:paraId="5CF18C09" w14:textId="64B3CCEA" w:rsidR="00655BAE" w:rsidRDefault="00000000">
      <w:pPr>
        <w:spacing w:after="80" w:line="258" w:lineRule="auto"/>
        <w:ind w:left="360" w:hanging="360"/>
        <w:jc w:val="both"/>
      </w:pPr>
      <w:r>
        <w:rPr>
          <w:b/>
          <w:bCs/>
          <w:color w:val="E97132"/>
          <w:sz w:val="16"/>
          <w:szCs w:val="16"/>
        </w:rPr>
        <w:t xml:space="preserve">▪   </w:t>
      </w:r>
      <w:r>
        <w:rPr>
          <w:b/>
          <w:bCs/>
          <w:color w:val="0E2841"/>
        </w:rPr>
        <w:t xml:space="preserve">Règlement des litiges : </w:t>
      </w:r>
      <w:r>
        <w:rPr>
          <w:color w:val="1A1A1A"/>
        </w:rPr>
        <w:t>évaluation préalable par un expert indépendant (ENE), puis arbitrage sous les règles de la LCIA (Londres).</w:t>
      </w:r>
    </w:p>
    <w:p w14:paraId="399617BA" w14:textId="77777777" w:rsidR="00655BAE" w:rsidRDefault="00655BAE">
      <w:pPr>
        <w:spacing w:after="120"/>
      </w:pPr>
    </w:p>
    <w:p w14:paraId="4E1907F9" w14:textId="31019062" w:rsidR="00655BAE" w:rsidRDefault="00000000">
      <w:pPr>
        <w:keepNext/>
        <w:pBdr>
          <w:bottom w:val="single" w:sz="18" w:space="0" w:color="E97132"/>
        </w:pBdr>
        <w:spacing w:before="300" w:after="140"/>
      </w:pPr>
      <w:r>
        <w:rPr>
          <w:b/>
          <w:bCs/>
          <w:color w:val="E97132"/>
          <w:sz w:val="26"/>
          <w:szCs w:val="26"/>
        </w:rPr>
        <w:t xml:space="preserve">7   </w:t>
      </w:r>
      <w:r>
        <w:rPr>
          <w:b/>
          <w:bCs/>
          <w:caps/>
          <w:color w:val="0E2841"/>
          <w:sz w:val="26"/>
          <w:szCs w:val="26"/>
        </w:rPr>
        <w:t>Tableau de synthèse</w:t>
      </w:r>
    </w:p>
    <w:tbl>
      <w:tblPr>
        <w:tblW w:w="5000" w:type="pct"/>
        <w:tblBorders>
          <w:top w:val="single" w:sz="4" w:space="0" w:color="C9D3DF"/>
          <w:left w:val="none" w:sz="0" w:space="0" w:color="FFFFFF"/>
          <w:bottom w:val="single" w:sz="4" w:space="0" w:color="C9D3DF"/>
          <w:right w:val="none" w:sz="0" w:space="0" w:color="FFFFFF"/>
          <w:insideH w:val="single" w:sz="2" w:space="0" w:color="DCE3EC"/>
          <w:insideV w:val="single" w:sz="2" w:space="0" w:color="DCE3EC"/>
        </w:tblBorders>
        <w:tblLayout w:type="fixed"/>
        <w:tblCellMar>
          <w:left w:w="10" w:type="dxa"/>
          <w:right w:w="10" w:type="dxa"/>
        </w:tblCellMar>
        <w:tblLook w:val="04A0" w:firstRow="1" w:lastRow="0" w:firstColumn="1" w:lastColumn="0" w:noHBand="0" w:noVBand="1"/>
      </w:tblPr>
      <w:tblGrid>
        <w:gridCol w:w="2901"/>
        <w:gridCol w:w="2313"/>
        <w:gridCol w:w="2313"/>
        <w:gridCol w:w="2313"/>
      </w:tblGrid>
      <w:tr w:rsidR="00655BAE" w14:paraId="2BA5537C" w14:textId="77777777">
        <w:tblPrEx>
          <w:tblCellMar>
            <w:top w:w="0" w:type="dxa"/>
            <w:bottom w:w="0" w:type="dxa"/>
          </w:tblCellMar>
        </w:tblPrEx>
        <w:trPr>
          <w:tblHeader/>
        </w:trPr>
        <w:tc>
          <w:tcPr>
            <w:tcW w:w="2760" w:type="dxa"/>
            <w:shd w:val="clear" w:color="auto" w:fill="0E2841"/>
            <w:tcMar>
              <w:top w:w="80" w:type="dxa"/>
              <w:left w:w="120" w:type="dxa"/>
              <w:bottom w:w="80" w:type="dxa"/>
              <w:right w:w="100" w:type="dxa"/>
            </w:tcMar>
          </w:tcPr>
          <w:p w14:paraId="3153A749" w14:textId="77777777" w:rsidR="00655BAE" w:rsidRDefault="00655BAE"/>
        </w:tc>
        <w:tc>
          <w:tcPr>
            <w:tcW w:w="2200" w:type="dxa"/>
            <w:shd w:val="clear" w:color="auto" w:fill="0E2841"/>
            <w:tcMar>
              <w:top w:w="80" w:type="dxa"/>
              <w:left w:w="120" w:type="dxa"/>
              <w:bottom w:w="80" w:type="dxa"/>
              <w:right w:w="100" w:type="dxa"/>
            </w:tcMar>
          </w:tcPr>
          <w:p w14:paraId="71456E76" w14:textId="77777777" w:rsidR="00655BAE" w:rsidRDefault="00000000">
            <w:r>
              <w:rPr>
                <w:b/>
                <w:bCs/>
                <w:color w:val="FFFFFF"/>
                <w:sz w:val="19"/>
                <w:szCs w:val="19"/>
              </w:rPr>
              <w:t>D&amp;O</w:t>
            </w:r>
          </w:p>
        </w:tc>
        <w:tc>
          <w:tcPr>
            <w:tcW w:w="2200" w:type="dxa"/>
            <w:shd w:val="clear" w:color="auto" w:fill="0E2841"/>
            <w:tcMar>
              <w:top w:w="80" w:type="dxa"/>
              <w:left w:w="120" w:type="dxa"/>
              <w:bottom w:w="80" w:type="dxa"/>
              <w:right w:w="100" w:type="dxa"/>
            </w:tcMar>
          </w:tcPr>
          <w:p w14:paraId="0FABA7FF" w14:textId="77777777" w:rsidR="00655BAE" w:rsidRDefault="00000000">
            <w:r>
              <w:rPr>
                <w:b/>
                <w:bCs/>
                <w:color w:val="FFFFFF"/>
                <w:sz w:val="19"/>
                <w:szCs w:val="19"/>
              </w:rPr>
              <w:t>Crime &amp; RC</w:t>
            </w:r>
          </w:p>
        </w:tc>
        <w:tc>
          <w:tcPr>
            <w:tcW w:w="2200" w:type="dxa"/>
            <w:shd w:val="clear" w:color="auto" w:fill="0E2841"/>
            <w:tcMar>
              <w:top w:w="80" w:type="dxa"/>
              <w:left w:w="120" w:type="dxa"/>
              <w:bottom w:w="80" w:type="dxa"/>
              <w:right w:w="100" w:type="dxa"/>
            </w:tcMar>
          </w:tcPr>
          <w:p w14:paraId="47589051" w14:textId="77777777" w:rsidR="00655BAE" w:rsidRDefault="00000000">
            <w:r>
              <w:rPr>
                <w:b/>
                <w:bCs/>
                <w:color w:val="FFFFFF"/>
                <w:sz w:val="19"/>
                <w:szCs w:val="19"/>
              </w:rPr>
              <w:t>Cyber</w:t>
            </w:r>
          </w:p>
        </w:tc>
      </w:tr>
      <w:tr w:rsidR="00655BAE" w14:paraId="6D39EA67" w14:textId="77777777">
        <w:tblPrEx>
          <w:tblCellMar>
            <w:top w:w="0" w:type="dxa"/>
            <w:bottom w:w="0" w:type="dxa"/>
          </w:tblCellMar>
        </w:tblPrEx>
        <w:tc>
          <w:tcPr>
            <w:tcW w:w="2760" w:type="dxa"/>
            <w:shd w:val="clear" w:color="auto" w:fill="EEF2F7"/>
            <w:tcMar>
              <w:top w:w="70" w:type="dxa"/>
              <w:left w:w="120" w:type="dxa"/>
              <w:bottom w:w="70" w:type="dxa"/>
              <w:right w:w="100" w:type="dxa"/>
            </w:tcMar>
          </w:tcPr>
          <w:p w14:paraId="008090A5" w14:textId="77777777" w:rsidR="00655BAE" w:rsidRDefault="00000000">
            <w:r>
              <w:rPr>
                <w:color w:val="1A1A1A"/>
                <w:sz w:val="19"/>
                <w:szCs w:val="19"/>
              </w:rPr>
              <w:t>Qui / quoi est protégé</w:t>
            </w:r>
          </w:p>
        </w:tc>
        <w:tc>
          <w:tcPr>
            <w:tcW w:w="2200" w:type="dxa"/>
            <w:shd w:val="clear" w:color="auto" w:fill="EEF2F7"/>
            <w:tcMar>
              <w:top w:w="70" w:type="dxa"/>
              <w:left w:w="120" w:type="dxa"/>
              <w:bottom w:w="70" w:type="dxa"/>
              <w:right w:w="100" w:type="dxa"/>
            </w:tcMar>
          </w:tcPr>
          <w:p w14:paraId="5F39C030" w14:textId="77777777" w:rsidR="00655BAE" w:rsidRDefault="00000000">
            <w:r>
              <w:rPr>
                <w:color w:val="1A1A1A"/>
                <w:sz w:val="19"/>
                <w:szCs w:val="19"/>
              </w:rPr>
              <w:t>Dirigeants + société</w:t>
            </w:r>
          </w:p>
        </w:tc>
        <w:tc>
          <w:tcPr>
            <w:tcW w:w="2200" w:type="dxa"/>
            <w:shd w:val="clear" w:color="auto" w:fill="EEF2F7"/>
            <w:tcMar>
              <w:top w:w="70" w:type="dxa"/>
              <w:left w:w="120" w:type="dxa"/>
              <w:bottom w:w="70" w:type="dxa"/>
              <w:right w:w="100" w:type="dxa"/>
            </w:tcMar>
          </w:tcPr>
          <w:p w14:paraId="458EDEC2" w14:textId="77777777" w:rsidR="00655BAE" w:rsidRDefault="00000000">
            <w:r>
              <w:rPr>
                <w:color w:val="1A1A1A"/>
                <w:sz w:val="19"/>
                <w:szCs w:val="19"/>
              </w:rPr>
              <w:t>Banque : fraude &amp; faute pro.</w:t>
            </w:r>
          </w:p>
        </w:tc>
        <w:tc>
          <w:tcPr>
            <w:tcW w:w="2200" w:type="dxa"/>
            <w:shd w:val="clear" w:color="auto" w:fill="EEF2F7"/>
            <w:tcMar>
              <w:top w:w="70" w:type="dxa"/>
              <w:left w:w="120" w:type="dxa"/>
              <w:bottom w:w="70" w:type="dxa"/>
              <w:right w:w="100" w:type="dxa"/>
            </w:tcMar>
          </w:tcPr>
          <w:p w14:paraId="15049E4F" w14:textId="77777777" w:rsidR="00655BAE" w:rsidRDefault="00000000">
            <w:r>
              <w:rPr>
                <w:color w:val="1A1A1A"/>
                <w:sz w:val="19"/>
                <w:szCs w:val="19"/>
              </w:rPr>
              <w:t>Systèmes &amp; données</w:t>
            </w:r>
          </w:p>
        </w:tc>
      </w:tr>
      <w:tr w:rsidR="00655BAE" w14:paraId="70808B12" w14:textId="77777777">
        <w:tblPrEx>
          <w:tblCellMar>
            <w:top w:w="0" w:type="dxa"/>
            <w:bottom w:w="0" w:type="dxa"/>
          </w:tblCellMar>
        </w:tblPrEx>
        <w:tc>
          <w:tcPr>
            <w:tcW w:w="2760" w:type="dxa"/>
            <w:shd w:val="clear" w:color="auto" w:fill="FFFFFF"/>
            <w:tcMar>
              <w:top w:w="70" w:type="dxa"/>
              <w:left w:w="120" w:type="dxa"/>
              <w:bottom w:w="70" w:type="dxa"/>
              <w:right w:w="100" w:type="dxa"/>
            </w:tcMar>
          </w:tcPr>
          <w:p w14:paraId="61E269FA" w14:textId="77777777" w:rsidR="00655BAE" w:rsidRDefault="00000000">
            <w:r>
              <w:rPr>
                <w:color w:val="1A1A1A"/>
                <w:sz w:val="19"/>
                <w:szCs w:val="19"/>
              </w:rPr>
              <w:t>Risque principal</w:t>
            </w:r>
          </w:p>
        </w:tc>
        <w:tc>
          <w:tcPr>
            <w:tcW w:w="2200" w:type="dxa"/>
            <w:shd w:val="clear" w:color="auto" w:fill="FFFFFF"/>
            <w:tcMar>
              <w:top w:w="70" w:type="dxa"/>
              <w:left w:w="120" w:type="dxa"/>
              <w:bottom w:w="70" w:type="dxa"/>
              <w:right w:w="100" w:type="dxa"/>
            </w:tcMar>
          </w:tcPr>
          <w:p w14:paraId="46087FB3" w14:textId="77777777" w:rsidR="00655BAE" w:rsidRDefault="00000000">
            <w:r>
              <w:rPr>
                <w:color w:val="1A1A1A"/>
                <w:sz w:val="19"/>
                <w:szCs w:val="19"/>
              </w:rPr>
              <w:t>Faute de gestion</w:t>
            </w:r>
          </w:p>
        </w:tc>
        <w:tc>
          <w:tcPr>
            <w:tcW w:w="2200" w:type="dxa"/>
            <w:shd w:val="clear" w:color="auto" w:fill="FFFFFF"/>
            <w:tcMar>
              <w:top w:w="70" w:type="dxa"/>
              <w:left w:w="120" w:type="dxa"/>
              <w:bottom w:w="70" w:type="dxa"/>
              <w:right w:w="100" w:type="dxa"/>
            </w:tcMar>
          </w:tcPr>
          <w:p w14:paraId="4F17D4BC" w14:textId="77777777" w:rsidR="00655BAE" w:rsidRDefault="00000000">
            <w:r>
              <w:rPr>
                <w:color w:val="1A1A1A"/>
                <w:sz w:val="19"/>
                <w:szCs w:val="19"/>
              </w:rPr>
              <w:t>Fraude, malveillance, erreur</w:t>
            </w:r>
          </w:p>
        </w:tc>
        <w:tc>
          <w:tcPr>
            <w:tcW w:w="2200" w:type="dxa"/>
            <w:shd w:val="clear" w:color="auto" w:fill="FFFFFF"/>
            <w:tcMar>
              <w:top w:w="70" w:type="dxa"/>
              <w:left w:w="120" w:type="dxa"/>
              <w:bottom w:w="70" w:type="dxa"/>
              <w:right w:w="100" w:type="dxa"/>
            </w:tcMar>
          </w:tcPr>
          <w:p w14:paraId="604920EA" w14:textId="77777777" w:rsidR="00655BAE" w:rsidRDefault="00000000">
            <w:r>
              <w:rPr>
                <w:color w:val="1A1A1A"/>
                <w:sz w:val="19"/>
                <w:szCs w:val="19"/>
              </w:rPr>
              <w:t>Cyber-attaque, fuite de données</w:t>
            </w:r>
          </w:p>
        </w:tc>
      </w:tr>
      <w:tr w:rsidR="00655BAE" w14:paraId="3F50F4D2" w14:textId="77777777">
        <w:tblPrEx>
          <w:tblCellMar>
            <w:top w:w="0" w:type="dxa"/>
            <w:bottom w:w="0" w:type="dxa"/>
          </w:tblCellMar>
        </w:tblPrEx>
        <w:tc>
          <w:tcPr>
            <w:tcW w:w="2760" w:type="dxa"/>
            <w:shd w:val="clear" w:color="auto" w:fill="EEF2F7"/>
            <w:tcMar>
              <w:top w:w="70" w:type="dxa"/>
              <w:left w:w="120" w:type="dxa"/>
              <w:bottom w:w="70" w:type="dxa"/>
              <w:right w:w="100" w:type="dxa"/>
            </w:tcMar>
          </w:tcPr>
          <w:p w14:paraId="0E64181F" w14:textId="77777777" w:rsidR="00655BAE" w:rsidRDefault="00000000">
            <w:r>
              <w:rPr>
                <w:color w:val="1A1A1A"/>
                <w:sz w:val="19"/>
                <w:szCs w:val="19"/>
              </w:rPr>
              <w:t>Limite globale (USD)</w:t>
            </w:r>
          </w:p>
        </w:tc>
        <w:tc>
          <w:tcPr>
            <w:tcW w:w="2200" w:type="dxa"/>
            <w:shd w:val="clear" w:color="auto" w:fill="EEF2F7"/>
            <w:tcMar>
              <w:top w:w="70" w:type="dxa"/>
              <w:left w:w="120" w:type="dxa"/>
              <w:bottom w:w="70" w:type="dxa"/>
              <w:right w:w="100" w:type="dxa"/>
            </w:tcMar>
          </w:tcPr>
          <w:p w14:paraId="30FE0400" w14:textId="77777777" w:rsidR="00655BAE" w:rsidRDefault="00000000">
            <w:r>
              <w:rPr>
                <w:color w:val="1A1A1A"/>
                <w:sz w:val="19"/>
                <w:szCs w:val="19"/>
              </w:rPr>
              <w:t>172 413 793</w:t>
            </w:r>
          </w:p>
        </w:tc>
        <w:tc>
          <w:tcPr>
            <w:tcW w:w="2200" w:type="dxa"/>
            <w:shd w:val="clear" w:color="auto" w:fill="EEF2F7"/>
            <w:tcMar>
              <w:top w:w="70" w:type="dxa"/>
              <w:left w:w="120" w:type="dxa"/>
              <w:bottom w:w="70" w:type="dxa"/>
              <w:right w:w="100" w:type="dxa"/>
            </w:tcMar>
          </w:tcPr>
          <w:p w14:paraId="1BEC4A52" w14:textId="77777777" w:rsidR="00655BAE" w:rsidRDefault="00000000">
            <w:r>
              <w:rPr>
                <w:color w:val="1A1A1A"/>
                <w:sz w:val="19"/>
                <w:szCs w:val="19"/>
              </w:rPr>
              <w:t>22,99 M puis 172,41 M</w:t>
            </w:r>
          </w:p>
        </w:tc>
        <w:tc>
          <w:tcPr>
            <w:tcW w:w="2200" w:type="dxa"/>
            <w:shd w:val="clear" w:color="auto" w:fill="EEF2F7"/>
            <w:tcMar>
              <w:top w:w="70" w:type="dxa"/>
              <w:left w:w="120" w:type="dxa"/>
              <w:bottom w:w="70" w:type="dxa"/>
              <w:right w:w="100" w:type="dxa"/>
            </w:tcMar>
          </w:tcPr>
          <w:p w14:paraId="52EBE8DB" w14:textId="77777777" w:rsidR="00655BAE" w:rsidRDefault="00000000">
            <w:r>
              <w:rPr>
                <w:color w:val="1A1A1A"/>
                <w:sz w:val="19"/>
                <w:szCs w:val="19"/>
              </w:rPr>
              <w:t>8,62 M puis 114,94 M</w:t>
            </w:r>
          </w:p>
        </w:tc>
      </w:tr>
      <w:tr w:rsidR="00655BAE" w14:paraId="22F729CF" w14:textId="77777777">
        <w:tblPrEx>
          <w:tblCellMar>
            <w:top w:w="0" w:type="dxa"/>
            <w:bottom w:w="0" w:type="dxa"/>
          </w:tblCellMar>
        </w:tblPrEx>
        <w:tc>
          <w:tcPr>
            <w:tcW w:w="2760" w:type="dxa"/>
            <w:shd w:val="clear" w:color="auto" w:fill="FFFFFF"/>
            <w:tcMar>
              <w:top w:w="70" w:type="dxa"/>
              <w:left w:w="120" w:type="dxa"/>
              <w:bottom w:w="70" w:type="dxa"/>
              <w:right w:w="100" w:type="dxa"/>
            </w:tcMar>
          </w:tcPr>
          <w:p w14:paraId="1FCCFF46" w14:textId="77777777" w:rsidR="00655BAE" w:rsidRDefault="00000000">
            <w:r>
              <w:rPr>
                <w:color w:val="1A1A1A"/>
                <w:sz w:val="19"/>
                <w:szCs w:val="19"/>
              </w:rPr>
              <w:t>Franchise (USD)</w:t>
            </w:r>
          </w:p>
        </w:tc>
        <w:tc>
          <w:tcPr>
            <w:tcW w:w="2200" w:type="dxa"/>
            <w:shd w:val="clear" w:color="auto" w:fill="FFFFFF"/>
            <w:tcMar>
              <w:top w:w="70" w:type="dxa"/>
              <w:left w:w="120" w:type="dxa"/>
              <w:bottom w:w="70" w:type="dxa"/>
              <w:right w:w="100" w:type="dxa"/>
            </w:tcMar>
          </w:tcPr>
          <w:p w14:paraId="1669D1E3" w14:textId="77777777" w:rsidR="00655BAE" w:rsidRDefault="00000000">
            <w:r>
              <w:rPr>
                <w:color w:val="1A1A1A"/>
                <w:sz w:val="19"/>
                <w:szCs w:val="19"/>
              </w:rPr>
              <w:t>0 (dirigeants) / 287 356</w:t>
            </w:r>
          </w:p>
        </w:tc>
        <w:tc>
          <w:tcPr>
            <w:tcW w:w="2200" w:type="dxa"/>
            <w:shd w:val="clear" w:color="auto" w:fill="FFFFFF"/>
            <w:tcMar>
              <w:top w:w="70" w:type="dxa"/>
              <w:left w:w="120" w:type="dxa"/>
              <w:bottom w:w="70" w:type="dxa"/>
              <w:right w:w="100" w:type="dxa"/>
            </w:tcMar>
          </w:tcPr>
          <w:p w14:paraId="74A5A071" w14:textId="77777777" w:rsidR="00655BAE" w:rsidRDefault="00000000">
            <w:r>
              <w:rPr>
                <w:color w:val="1A1A1A"/>
                <w:sz w:val="19"/>
                <w:szCs w:val="19"/>
              </w:rPr>
              <w:t>114 943</w:t>
            </w:r>
          </w:p>
        </w:tc>
        <w:tc>
          <w:tcPr>
            <w:tcW w:w="2200" w:type="dxa"/>
            <w:shd w:val="clear" w:color="auto" w:fill="FFFFFF"/>
            <w:tcMar>
              <w:top w:w="70" w:type="dxa"/>
              <w:left w:w="120" w:type="dxa"/>
              <w:bottom w:w="70" w:type="dxa"/>
              <w:right w:w="100" w:type="dxa"/>
            </w:tcMar>
          </w:tcPr>
          <w:p w14:paraId="11090AFC" w14:textId="77777777" w:rsidR="00655BAE" w:rsidRDefault="00000000">
            <w:r>
              <w:rPr>
                <w:color w:val="1A1A1A"/>
                <w:sz w:val="19"/>
                <w:szCs w:val="19"/>
              </w:rPr>
              <w:t>287 356</w:t>
            </w:r>
          </w:p>
        </w:tc>
      </w:tr>
      <w:tr w:rsidR="00655BAE" w14:paraId="02565C5E" w14:textId="77777777">
        <w:tblPrEx>
          <w:tblCellMar>
            <w:top w:w="0" w:type="dxa"/>
            <w:bottom w:w="0" w:type="dxa"/>
          </w:tblCellMar>
        </w:tblPrEx>
        <w:tc>
          <w:tcPr>
            <w:tcW w:w="2760" w:type="dxa"/>
            <w:shd w:val="clear" w:color="auto" w:fill="EEF2F7"/>
            <w:tcMar>
              <w:top w:w="70" w:type="dxa"/>
              <w:left w:w="120" w:type="dxa"/>
              <w:bottom w:w="70" w:type="dxa"/>
              <w:right w:w="100" w:type="dxa"/>
            </w:tcMar>
          </w:tcPr>
          <w:p w14:paraId="7F0BAFE1" w14:textId="77777777" w:rsidR="00655BAE" w:rsidRDefault="00000000">
            <w:r>
              <w:rPr>
                <w:color w:val="1A1A1A"/>
                <w:sz w:val="19"/>
                <w:szCs w:val="19"/>
              </w:rPr>
              <w:t>Déclenchement</w:t>
            </w:r>
          </w:p>
        </w:tc>
        <w:tc>
          <w:tcPr>
            <w:tcW w:w="2200" w:type="dxa"/>
            <w:shd w:val="clear" w:color="auto" w:fill="EEF2F7"/>
            <w:tcMar>
              <w:top w:w="70" w:type="dxa"/>
              <w:left w:w="120" w:type="dxa"/>
              <w:bottom w:w="70" w:type="dxa"/>
              <w:right w:w="100" w:type="dxa"/>
            </w:tcMar>
          </w:tcPr>
          <w:p w14:paraId="7E674817" w14:textId="77777777" w:rsidR="00655BAE" w:rsidRDefault="00000000">
            <w:r>
              <w:rPr>
                <w:color w:val="1A1A1A"/>
                <w:sz w:val="19"/>
                <w:szCs w:val="19"/>
              </w:rPr>
              <w:t>Réclamation (claims-made)</w:t>
            </w:r>
          </w:p>
        </w:tc>
        <w:tc>
          <w:tcPr>
            <w:tcW w:w="2200" w:type="dxa"/>
            <w:shd w:val="clear" w:color="auto" w:fill="EEF2F7"/>
            <w:tcMar>
              <w:top w:w="70" w:type="dxa"/>
              <w:left w:w="120" w:type="dxa"/>
              <w:bottom w:w="70" w:type="dxa"/>
              <w:right w:w="100" w:type="dxa"/>
            </w:tcMar>
          </w:tcPr>
          <w:p w14:paraId="5B459636" w14:textId="77777777" w:rsidR="00655BAE" w:rsidRDefault="00000000">
            <w:r>
              <w:rPr>
                <w:color w:val="1A1A1A"/>
                <w:sz w:val="19"/>
                <w:szCs w:val="19"/>
              </w:rPr>
              <w:t>Découverte + réclamation</w:t>
            </w:r>
          </w:p>
        </w:tc>
        <w:tc>
          <w:tcPr>
            <w:tcW w:w="2200" w:type="dxa"/>
            <w:shd w:val="clear" w:color="auto" w:fill="EEF2F7"/>
            <w:tcMar>
              <w:top w:w="70" w:type="dxa"/>
              <w:left w:w="120" w:type="dxa"/>
              <w:bottom w:w="70" w:type="dxa"/>
              <w:right w:w="100" w:type="dxa"/>
            </w:tcMar>
          </w:tcPr>
          <w:p w14:paraId="17A07933" w14:textId="77777777" w:rsidR="00655BAE" w:rsidRDefault="00000000">
            <w:r>
              <w:rPr>
                <w:color w:val="1A1A1A"/>
                <w:sz w:val="19"/>
                <w:szCs w:val="19"/>
              </w:rPr>
              <w:t>Découverte d'incident</w:t>
            </w:r>
          </w:p>
        </w:tc>
      </w:tr>
      <w:tr w:rsidR="00655BAE" w14:paraId="37D08B43" w14:textId="77777777">
        <w:tblPrEx>
          <w:tblCellMar>
            <w:top w:w="0" w:type="dxa"/>
            <w:bottom w:w="0" w:type="dxa"/>
          </w:tblCellMar>
        </w:tblPrEx>
        <w:tc>
          <w:tcPr>
            <w:tcW w:w="2760" w:type="dxa"/>
            <w:shd w:val="clear" w:color="auto" w:fill="FFFFFF"/>
            <w:tcMar>
              <w:top w:w="70" w:type="dxa"/>
              <w:left w:w="120" w:type="dxa"/>
              <w:bottom w:w="70" w:type="dxa"/>
              <w:right w:w="100" w:type="dxa"/>
            </w:tcMar>
          </w:tcPr>
          <w:p w14:paraId="46223686" w14:textId="77777777" w:rsidR="00655BAE" w:rsidRDefault="00000000">
            <w:r>
              <w:rPr>
                <w:color w:val="1A1A1A"/>
                <w:sz w:val="19"/>
                <w:szCs w:val="19"/>
              </w:rPr>
              <w:t>Prime locale (USD)</w:t>
            </w:r>
          </w:p>
        </w:tc>
        <w:tc>
          <w:tcPr>
            <w:tcW w:w="2200" w:type="dxa"/>
            <w:shd w:val="clear" w:color="auto" w:fill="FFFFFF"/>
            <w:tcMar>
              <w:top w:w="70" w:type="dxa"/>
              <w:left w:w="120" w:type="dxa"/>
              <w:bottom w:w="70" w:type="dxa"/>
              <w:right w:w="100" w:type="dxa"/>
            </w:tcMar>
          </w:tcPr>
          <w:p w14:paraId="29928B40" w14:textId="77777777" w:rsidR="00655BAE" w:rsidRDefault="00000000">
            <w:r>
              <w:rPr>
                <w:color w:val="1A1A1A"/>
                <w:sz w:val="19"/>
                <w:szCs w:val="19"/>
              </w:rPr>
              <w:t>5 164,06</w:t>
            </w:r>
          </w:p>
        </w:tc>
        <w:tc>
          <w:tcPr>
            <w:tcW w:w="2200" w:type="dxa"/>
            <w:shd w:val="clear" w:color="auto" w:fill="FFFFFF"/>
            <w:tcMar>
              <w:top w:w="70" w:type="dxa"/>
              <w:left w:w="120" w:type="dxa"/>
              <w:bottom w:w="70" w:type="dxa"/>
              <w:right w:w="100" w:type="dxa"/>
            </w:tcMar>
          </w:tcPr>
          <w:p w14:paraId="75F4D530" w14:textId="77777777" w:rsidR="00655BAE" w:rsidRDefault="00000000">
            <w:r>
              <w:rPr>
                <w:color w:val="1A1A1A"/>
                <w:sz w:val="19"/>
                <w:szCs w:val="19"/>
              </w:rPr>
              <w:t>73 811,86</w:t>
            </w:r>
          </w:p>
        </w:tc>
        <w:tc>
          <w:tcPr>
            <w:tcW w:w="2200" w:type="dxa"/>
            <w:shd w:val="clear" w:color="auto" w:fill="FFFFFF"/>
            <w:tcMar>
              <w:top w:w="70" w:type="dxa"/>
              <w:left w:w="120" w:type="dxa"/>
              <w:bottom w:w="70" w:type="dxa"/>
              <w:right w:w="100" w:type="dxa"/>
            </w:tcMar>
          </w:tcPr>
          <w:p w14:paraId="4CA38274" w14:textId="77777777" w:rsidR="00655BAE" w:rsidRDefault="00000000">
            <w:r>
              <w:rPr>
                <w:color w:val="1A1A1A"/>
                <w:sz w:val="19"/>
                <w:szCs w:val="19"/>
              </w:rPr>
              <w:t>17 102,70</w:t>
            </w:r>
          </w:p>
        </w:tc>
      </w:tr>
    </w:tbl>
    <w:p w14:paraId="567B4B20" w14:textId="77777777" w:rsidR="00655BAE" w:rsidRDefault="00655BAE">
      <w:pPr>
        <w:spacing w:after="160"/>
      </w:pPr>
    </w:p>
    <w:p w14:paraId="52FDF6E5" w14:textId="2CA42A90" w:rsidR="00655BAE" w:rsidRDefault="00000000">
      <w:pPr>
        <w:keepNext/>
        <w:pBdr>
          <w:bottom w:val="single" w:sz="18" w:space="0" w:color="E97132"/>
        </w:pBdr>
        <w:spacing w:before="300" w:after="140"/>
      </w:pPr>
      <w:r>
        <w:rPr>
          <w:b/>
          <w:bCs/>
          <w:color w:val="E97132"/>
          <w:sz w:val="26"/>
          <w:szCs w:val="26"/>
        </w:rPr>
        <w:t xml:space="preserve">8   </w:t>
      </w:r>
      <w:r>
        <w:rPr>
          <w:b/>
          <w:bCs/>
          <w:caps/>
          <w:color w:val="0E2841"/>
          <w:sz w:val="26"/>
          <w:szCs w:val="26"/>
        </w:rPr>
        <w:t>Récapitulatif des primes (polices locales SFA Congo)</w:t>
      </w:r>
    </w:p>
    <w:tbl>
      <w:tblPr>
        <w:tblW w:w="5000" w:type="pct"/>
        <w:tblBorders>
          <w:top w:val="single" w:sz="4" w:space="0" w:color="C9D3DF"/>
          <w:left w:val="none" w:sz="0" w:space="0" w:color="FFFFFF"/>
          <w:bottom w:val="single" w:sz="4" w:space="0" w:color="C9D3DF"/>
          <w:right w:val="none" w:sz="0" w:space="0" w:color="FFFFFF"/>
          <w:insideH w:val="single" w:sz="2" w:space="0" w:color="DCE3EC"/>
          <w:insideV w:val="single" w:sz="2" w:space="0" w:color="DCE3EC"/>
        </w:tblBorders>
        <w:tblLayout w:type="fixed"/>
        <w:tblCellMar>
          <w:left w:w="10" w:type="dxa"/>
          <w:right w:w="10" w:type="dxa"/>
        </w:tblCellMar>
        <w:tblLook w:val="04A0" w:firstRow="1" w:lastRow="0" w:firstColumn="1" w:lastColumn="0" w:noHBand="0" w:noVBand="1"/>
      </w:tblPr>
      <w:tblGrid>
        <w:gridCol w:w="3322"/>
        <w:gridCol w:w="1682"/>
        <w:gridCol w:w="1472"/>
        <w:gridCol w:w="1472"/>
        <w:gridCol w:w="1892"/>
      </w:tblGrid>
      <w:tr w:rsidR="00655BAE" w14:paraId="5F4EFE10" w14:textId="77777777">
        <w:tblPrEx>
          <w:tblCellMar>
            <w:top w:w="0" w:type="dxa"/>
            <w:bottom w:w="0" w:type="dxa"/>
          </w:tblCellMar>
        </w:tblPrEx>
        <w:trPr>
          <w:tblHeader/>
        </w:trPr>
        <w:tc>
          <w:tcPr>
            <w:tcW w:w="3160" w:type="dxa"/>
            <w:shd w:val="clear" w:color="auto" w:fill="0E2841"/>
            <w:tcMar>
              <w:top w:w="80" w:type="dxa"/>
              <w:left w:w="120" w:type="dxa"/>
              <w:bottom w:w="80" w:type="dxa"/>
              <w:right w:w="100" w:type="dxa"/>
            </w:tcMar>
          </w:tcPr>
          <w:p w14:paraId="73F59B16" w14:textId="77777777" w:rsidR="00655BAE" w:rsidRDefault="00000000">
            <w:r>
              <w:rPr>
                <w:b/>
                <w:bCs/>
                <w:color w:val="FFFFFF"/>
                <w:sz w:val="19"/>
                <w:szCs w:val="19"/>
              </w:rPr>
              <w:t>Police</w:t>
            </w:r>
          </w:p>
        </w:tc>
        <w:tc>
          <w:tcPr>
            <w:tcW w:w="1600" w:type="dxa"/>
            <w:shd w:val="clear" w:color="auto" w:fill="0E2841"/>
            <w:tcMar>
              <w:top w:w="80" w:type="dxa"/>
              <w:left w:w="120" w:type="dxa"/>
              <w:bottom w:w="80" w:type="dxa"/>
              <w:right w:w="100" w:type="dxa"/>
            </w:tcMar>
          </w:tcPr>
          <w:p w14:paraId="304B8A69" w14:textId="77777777" w:rsidR="00655BAE" w:rsidRDefault="00000000">
            <w:r>
              <w:rPr>
                <w:b/>
                <w:bCs/>
                <w:color w:val="FFFFFF"/>
                <w:sz w:val="19"/>
                <w:szCs w:val="19"/>
              </w:rPr>
              <w:t>Prime nette</w:t>
            </w:r>
          </w:p>
        </w:tc>
        <w:tc>
          <w:tcPr>
            <w:tcW w:w="1400" w:type="dxa"/>
            <w:shd w:val="clear" w:color="auto" w:fill="0E2841"/>
            <w:tcMar>
              <w:top w:w="80" w:type="dxa"/>
              <w:left w:w="120" w:type="dxa"/>
              <w:bottom w:w="80" w:type="dxa"/>
              <w:right w:w="100" w:type="dxa"/>
            </w:tcMar>
          </w:tcPr>
          <w:p w14:paraId="5D09BBE1" w14:textId="77777777" w:rsidR="00655BAE" w:rsidRDefault="00000000">
            <w:r>
              <w:rPr>
                <w:b/>
                <w:bCs/>
                <w:color w:val="FFFFFF"/>
                <w:sz w:val="19"/>
                <w:szCs w:val="19"/>
              </w:rPr>
              <w:t>Frais adm.</w:t>
            </w:r>
          </w:p>
        </w:tc>
        <w:tc>
          <w:tcPr>
            <w:tcW w:w="1400" w:type="dxa"/>
            <w:shd w:val="clear" w:color="auto" w:fill="0E2841"/>
            <w:tcMar>
              <w:top w:w="80" w:type="dxa"/>
              <w:left w:w="120" w:type="dxa"/>
              <w:bottom w:w="80" w:type="dxa"/>
              <w:right w:w="100" w:type="dxa"/>
            </w:tcMar>
          </w:tcPr>
          <w:p w14:paraId="5979897E" w14:textId="77777777" w:rsidR="00655BAE" w:rsidRDefault="00000000">
            <w:r>
              <w:rPr>
                <w:b/>
                <w:bCs/>
                <w:color w:val="FFFFFF"/>
                <w:sz w:val="19"/>
                <w:szCs w:val="19"/>
              </w:rPr>
              <w:t>TVA</w:t>
            </w:r>
          </w:p>
        </w:tc>
        <w:tc>
          <w:tcPr>
            <w:tcW w:w="1800" w:type="dxa"/>
            <w:shd w:val="clear" w:color="auto" w:fill="0E2841"/>
            <w:tcMar>
              <w:top w:w="80" w:type="dxa"/>
              <w:left w:w="120" w:type="dxa"/>
              <w:bottom w:w="80" w:type="dxa"/>
              <w:right w:w="100" w:type="dxa"/>
            </w:tcMar>
          </w:tcPr>
          <w:p w14:paraId="269C900D" w14:textId="77777777" w:rsidR="00655BAE" w:rsidRDefault="00000000">
            <w:r>
              <w:rPr>
                <w:b/>
                <w:bCs/>
                <w:color w:val="FFFFFF"/>
                <w:sz w:val="19"/>
                <w:szCs w:val="19"/>
              </w:rPr>
              <w:t>Prime totale</w:t>
            </w:r>
          </w:p>
        </w:tc>
      </w:tr>
      <w:tr w:rsidR="00655BAE" w14:paraId="312CF3DA" w14:textId="77777777">
        <w:tblPrEx>
          <w:tblCellMar>
            <w:top w:w="0" w:type="dxa"/>
            <w:bottom w:w="0" w:type="dxa"/>
          </w:tblCellMar>
        </w:tblPrEx>
        <w:tc>
          <w:tcPr>
            <w:tcW w:w="3160" w:type="dxa"/>
            <w:shd w:val="clear" w:color="auto" w:fill="EEF2F7"/>
            <w:tcMar>
              <w:top w:w="70" w:type="dxa"/>
              <w:left w:w="120" w:type="dxa"/>
              <w:bottom w:w="70" w:type="dxa"/>
              <w:right w:w="100" w:type="dxa"/>
            </w:tcMar>
          </w:tcPr>
          <w:p w14:paraId="7475A69E" w14:textId="77777777" w:rsidR="00655BAE" w:rsidRDefault="00000000">
            <w:r>
              <w:rPr>
                <w:color w:val="1A1A1A"/>
                <w:sz w:val="19"/>
                <w:szCs w:val="19"/>
              </w:rPr>
              <w:t>D&amp;O</w:t>
            </w:r>
          </w:p>
        </w:tc>
        <w:tc>
          <w:tcPr>
            <w:tcW w:w="1600" w:type="dxa"/>
            <w:shd w:val="clear" w:color="auto" w:fill="EEF2F7"/>
            <w:tcMar>
              <w:top w:w="70" w:type="dxa"/>
              <w:left w:w="120" w:type="dxa"/>
              <w:bottom w:w="70" w:type="dxa"/>
              <w:right w:w="100" w:type="dxa"/>
            </w:tcMar>
          </w:tcPr>
          <w:p w14:paraId="6085F06F" w14:textId="77777777" w:rsidR="00655BAE" w:rsidRDefault="00000000">
            <w:r>
              <w:rPr>
                <w:color w:val="1A1A1A"/>
                <w:sz w:val="19"/>
                <w:szCs w:val="19"/>
              </w:rPr>
              <w:t>4 336,06</w:t>
            </w:r>
          </w:p>
        </w:tc>
        <w:tc>
          <w:tcPr>
            <w:tcW w:w="1400" w:type="dxa"/>
            <w:shd w:val="clear" w:color="auto" w:fill="EEF2F7"/>
            <w:tcMar>
              <w:top w:w="70" w:type="dxa"/>
              <w:left w:w="120" w:type="dxa"/>
              <w:bottom w:w="70" w:type="dxa"/>
              <w:right w:w="100" w:type="dxa"/>
            </w:tcMar>
          </w:tcPr>
          <w:p w14:paraId="0D65C80A" w14:textId="77777777" w:rsidR="00655BAE" w:rsidRDefault="00000000">
            <w:r>
              <w:rPr>
                <w:color w:val="1A1A1A"/>
                <w:sz w:val="19"/>
                <w:szCs w:val="19"/>
              </w:rPr>
              <w:t>115,72</w:t>
            </w:r>
          </w:p>
        </w:tc>
        <w:tc>
          <w:tcPr>
            <w:tcW w:w="1400" w:type="dxa"/>
            <w:shd w:val="clear" w:color="auto" w:fill="EEF2F7"/>
            <w:tcMar>
              <w:top w:w="70" w:type="dxa"/>
              <w:left w:w="120" w:type="dxa"/>
              <w:bottom w:w="70" w:type="dxa"/>
              <w:right w:w="100" w:type="dxa"/>
            </w:tcMar>
          </w:tcPr>
          <w:p w14:paraId="14B7E8D3" w14:textId="77777777" w:rsidR="00655BAE" w:rsidRDefault="00000000">
            <w:r>
              <w:rPr>
                <w:color w:val="1A1A1A"/>
                <w:sz w:val="19"/>
                <w:szCs w:val="19"/>
              </w:rPr>
              <w:t>712,28</w:t>
            </w:r>
          </w:p>
        </w:tc>
        <w:tc>
          <w:tcPr>
            <w:tcW w:w="1800" w:type="dxa"/>
            <w:shd w:val="clear" w:color="auto" w:fill="EEF2F7"/>
            <w:tcMar>
              <w:top w:w="70" w:type="dxa"/>
              <w:left w:w="120" w:type="dxa"/>
              <w:bottom w:w="70" w:type="dxa"/>
              <w:right w:w="100" w:type="dxa"/>
            </w:tcMar>
          </w:tcPr>
          <w:p w14:paraId="6E6B9B2D" w14:textId="77777777" w:rsidR="00655BAE" w:rsidRDefault="00000000">
            <w:r>
              <w:rPr>
                <w:color w:val="1A1A1A"/>
                <w:sz w:val="19"/>
                <w:szCs w:val="19"/>
              </w:rPr>
              <w:t>5 164,06</w:t>
            </w:r>
          </w:p>
        </w:tc>
      </w:tr>
      <w:tr w:rsidR="00655BAE" w14:paraId="11AF760A" w14:textId="77777777">
        <w:tblPrEx>
          <w:tblCellMar>
            <w:top w:w="0" w:type="dxa"/>
            <w:bottom w:w="0" w:type="dxa"/>
          </w:tblCellMar>
        </w:tblPrEx>
        <w:tc>
          <w:tcPr>
            <w:tcW w:w="3160" w:type="dxa"/>
            <w:shd w:val="clear" w:color="auto" w:fill="FFFFFF"/>
            <w:tcMar>
              <w:top w:w="70" w:type="dxa"/>
              <w:left w:w="120" w:type="dxa"/>
              <w:bottom w:w="70" w:type="dxa"/>
              <w:right w:w="100" w:type="dxa"/>
            </w:tcMar>
          </w:tcPr>
          <w:p w14:paraId="2493B841" w14:textId="77777777" w:rsidR="00655BAE" w:rsidRDefault="00000000">
            <w:r>
              <w:rPr>
                <w:color w:val="1A1A1A"/>
                <w:sz w:val="19"/>
                <w:szCs w:val="19"/>
              </w:rPr>
              <w:t>Crime &amp; Responsabilité civile</w:t>
            </w:r>
          </w:p>
        </w:tc>
        <w:tc>
          <w:tcPr>
            <w:tcW w:w="1600" w:type="dxa"/>
            <w:shd w:val="clear" w:color="auto" w:fill="FFFFFF"/>
            <w:tcMar>
              <w:top w:w="70" w:type="dxa"/>
              <w:left w:w="120" w:type="dxa"/>
              <w:bottom w:w="70" w:type="dxa"/>
              <w:right w:w="100" w:type="dxa"/>
            </w:tcMar>
          </w:tcPr>
          <w:p w14:paraId="52106915" w14:textId="77777777" w:rsidR="00655BAE" w:rsidRDefault="00000000">
            <w:r>
              <w:rPr>
                <w:color w:val="1A1A1A"/>
                <w:sz w:val="19"/>
                <w:szCs w:val="19"/>
              </w:rPr>
              <w:t>62 109,28</w:t>
            </w:r>
          </w:p>
        </w:tc>
        <w:tc>
          <w:tcPr>
            <w:tcW w:w="1400" w:type="dxa"/>
            <w:shd w:val="clear" w:color="auto" w:fill="FFFFFF"/>
            <w:tcMar>
              <w:top w:w="70" w:type="dxa"/>
              <w:left w:w="120" w:type="dxa"/>
              <w:bottom w:w="70" w:type="dxa"/>
              <w:right w:w="100" w:type="dxa"/>
            </w:tcMar>
          </w:tcPr>
          <w:p w14:paraId="5A9C31CE" w14:textId="77777777" w:rsidR="00655BAE" w:rsidRDefault="00000000">
            <w:r>
              <w:rPr>
                <w:color w:val="1A1A1A"/>
                <w:sz w:val="19"/>
                <w:szCs w:val="19"/>
              </w:rPr>
              <w:t>1 521,63</w:t>
            </w:r>
          </w:p>
        </w:tc>
        <w:tc>
          <w:tcPr>
            <w:tcW w:w="1400" w:type="dxa"/>
            <w:shd w:val="clear" w:color="auto" w:fill="FFFFFF"/>
            <w:tcMar>
              <w:top w:w="70" w:type="dxa"/>
              <w:left w:w="120" w:type="dxa"/>
              <w:bottom w:w="70" w:type="dxa"/>
              <w:right w:w="100" w:type="dxa"/>
            </w:tcMar>
          </w:tcPr>
          <w:p w14:paraId="352F8A3F" w14:textId="77777777" w:rsidR="00655BAE" w:rsidRDefault="00000000">
            <w:r>
              <w:rPr>
                <w:color w:val="1A1A1A"/>
                <w:sz w:val="19"/>
                <w:szCs w:val="19"/>
              </w:rPr>
              <w:t>10 180,95</w:t>
            </w:r>
          </w:p>
        </w:tc>
        <w:tc>
          <w:tcPr>
            <w:tcW w:w="1800" w:type="dxa"/>
            <w:shd w:val="clear" w:color="auto" w:fill="FFFFFF"/>
            <w:tcMar>
              <w:top w:w="70" w:type="dxa"/>
              <w:left w:w="120" w:type="dxa"/>
              <w:bottom w:w="70" w:type="dxa"/>
              <w:right w:w="100" w:type="dxa"/>
            </w:tcMar>
          </w:tcPr>
          <w:p w14:paraId="7BD767A1" w14:textId="77777777" w:rsidR="00655BAE" w:rsidRDefault="00000000">
            <w:r>
              <w:rPr>
                <w:color w:val="1A1A1A"/>
                <w:sz w:val="19"/>
                <w:szCs w:val="19"/>
              </w:rPr>
              <w:t>73 811,86</w:t>
            </w:r>
          </w:p>
        </w:tc>
      </w:tr>
      <w:tr w:rsidR="00655BAE" w14:paraId="44CC15B5" w14:textId="77777777">
        <w:tblPrEx>
          <w:tblCellMar>
            <w:top w:w="0" w:type="dxa"/>
            <w:bottom w:w="0" w:type="dxa"/>
          </w:tblCellMar>
        </w:tblPrEx>
        <w:tc>
          <w:tcPr>
            <w:tcW w:w="3160" w:type="dxa"/>
            <w:shd w:val="clear" w:color="auto" w:fill="EEF2F7"/>
            <w:tcMar>
              <w:top w:w="70" w:type="dxa"/>
              <w:left w:w="120" w:type="dxa"/>
              <w:bottom w:w="70" w:type="dxa"/>
              <w:right w:w="100" w:type="dxa"/>
            </w:tcMar>
          </w:tcPr>
          <w:p w14:paraId="13501C80" w14:textId="77777777" w:rsidR="00655BAE" w:rsidRDefault="00000000">
            <w:r>
              <w:rPr>
                <w:color w:val="1A1A1A"/>
                <w:sz w:val="19"/>
                <w:szCs w:val="19"/>
              </w:rPr>
              <w:t>Cyber</w:t>
            </w:r>
          </w:p>
        </w:tc>
        <w:tc>
          <w:tcPr>
            <w:tcW w:w="1600" w:type="dxa"/>
            <w:shd w:val="clear" w:color="auto" w:fill="EEF2F7"/>
            <w:tcMar>
              <w:top w:w="70" w:type="dxa"/>
              <w:left w:w="120" w:type="dxa"/>
              <w:bottom w:w="70" w:type="dxa"/>
              <w:right w:w="100" w:type="dxa"/>
            </w:tcMar>
          </w:tcPr>
          <w:p w14:paraId="03621D31" w14:textId="77777777" w:rsidR="00655BAE" w:rsidRDefault="00000000">
            <w:r>
              <w:rPr>
                <w:color w:val="1A1A1A"/>
                <w:sz w:val="19"/>
                <w:szCs w:val="19"/>
              </w:rPr>
              <w:t>14 383,49</w:t>
            </w:r>
          </w:p>
        </w:tc>
        <w:tc>
          <w:tcPr>
            <w:tcW w:w="1400" w:type="dxa"/>
            <w:shd w:val="clear" w:color="auto" w:fill="EEF2F7"/>
            <w:tcMar>
              <w:top w:w="70" w:type="dxa"/>
              <w:left w:w="120" w:type="dxa"/>
              <w:bottom w:w="70" w:type="dxa"/>
              <w:right w:w="100" w:type="dxa"/>
            </w:tcMar>
          </w:tcPr>
          <w:p w14:paraId="6606873D" w14:textId="77777777" w:rsidR="00655BAE" w:rsidRDefault="00000000">
            <w:r>
              <w:rPr>
                <w:color w:val="1A1A1A"/>
                <w:sz w:val="19"/>
                <w:szCs w:val="19"/>
              </w:rPr>
              <w:t>360,22</w:t>
            </w:r>
          </w:p>
        </w:tc>
        <w:tc>
          <w:tcPr>
            <w:tcW w:w="1400" w:type="dxa"/>
            <w:shd w:val="clear" w:color="auto" w:fill="EEF2F7"/>
            <w:tcMar>
              <w:top w:w="70" w:type="dxa"/>
              <w:left w:w="120" w:type="dxa"/>
              <w:bottom w:w="70" w:type="dxa"/>
              <w:right w:w="100" w:type="dxa"/>
            </w:tcMar>
          </w:tcPr>
          <w:p w14:paraId="237F0FF8" w14:textId="77777777" w:rsidR="00655BAE" w:rsidRDefault="00000000">
            <w:r>
              <w:rPr>
                <w:color w:val="1A1A1A"/>
                <w:sz w:val="19"/>
                <w:szCs w:val="19"/>
              </w:rPr>
              <w:t>2 358,99</w:t>
            </w:r>
          </w:p>
        </w:tc>
        <w:tc>
          <w:tcPr>
            <w:tcW w:w="1800" w:type="dxa"/>
            <w:shd w:val="clear" w:color="auto" w:fill="EEF2F7"/>
            <w:tcMar>
              <w:top w:w="70" w:type="dxa"/>
              <w:left w:w="120" w:type="dxa"/>
              <w:bottom w:w="70" w:type="dxa"/>
              <w:right w:w="100" w:type="dxa"/>
            </w:tcMar>
          </w:tcPr>
          <w:p w14:paraId="5C946AA5" w14:textId="77777777" w:rsidR="00655BAE" w:rsidRDefault="00000000">
            <w:r>
              <w:rPr>
                <w:color w:val="1A1A1A"/>
                <w:sz w:val="19"/>
                <w:szCs w:val="19"/>
              </w:rPr>
              <w:t>17 102,70</w:t>
            </w:r>
          </w:p>
        </w:tc>
      </w:tr>
      <w:tr w:rsidR="00655BAE" w14:paraId="6B4CA85D" w14:textId="77777777">
        <w:tblPrEx>
          <w:tblCellMar>
            <w:top w:w="0" w:type="dxa"/>
            <w:bottom w:w="0" w:type="dxa"/>
          </w:tblCellMar>
        </w:tblPrEx>
        <w:tc>
          <w:tcPr>
            <w:tcW w:w="3160" w:type="dxa"/>
            <w:shd w:val="clear" w:color="auto" w:fill="FFFFFF"/>
            <w:tcMar>
              <w:top w:w="70" w:type="dxa"/>
              <w:left w:w="120" w:type="dxa"/>
              <w:bottom w:w="70" w:type="dxa"/>
              <w:right w:w="100" w:type="dxa"/>
            </w:tcMar>
          </w:tcPr>
          <w:p w14:paraId="64698B75" w14:textId="77777777" w:rsidR="00655BAE" w:rsidRDefault="00000000">
            <w:r>
              <w:rPr>
                <w:b/>
                <w:bCs/>
                <w:color w:val="0E2841"/>
                <w:sz w:val="19"/>
                <w:szCs w:val="19"/>
              </w:rPr>
              <w:t>TOTAL</w:t>
            </w:r>
          </w:p>
        </w:tc>
        <w:tc>
          <w:tcPr>
            <w:tcW w:w="1600" w:type="dxa"/>
            <w:shd w:val="clear" w:color="auto" w:fill="FFFFFF"/>
            <w:tcMar>
              <w:top w:w="70" w:type="dxa"/>
              <w:left w:w="120" w:type="dxa"/>
              <w:bottom w:w="70" w:type="dxa"/>
              <w:right w:w="100" w:type="dxa"/>
            </w:tcMar>
          </w:tcPr>
          <w:p w14:paraId="4017E504" w14:textId="77777777" w:rsidR="00655BAE" w:rsidRDefault="00000000">
            <w:r>
              <w:rPr>
                <w:b/>
                <w:bCs/>
                <w:color w:val="0E2841"/>
                <w:sz w:val="19"/>
                <w:szCs w:val="19"/>
              </w:rPr>
              <w:t>80 828,83</w:t>
            </w:r>
          </w:p>
        </w:tc>
        <w:tc>
          <w:tcPr>
            <w:tcW w:w="1400" w:type="dxa"/>
            <w:shd w:val="clear" w:color="auto" w:fill="FFFFFF"/>
            <w:tcMar>
              <w:top w:w="70" w:type="dxa"/>
              <w:left w:w="120" w:type="dxa"/>
              <w:bottom w:w="70" w:type="dxa"/>
              <w:right w:w="100" w:type="dxa"/>
            </w:tcMar>
          </w:tcPr>
          <w:p w14:paraId="6FB9984D" w14:textId="77777777" w:rsidR="00655BAE" w:rsidRDefault="00000000">
            <w:r>
              <w:rPr>
                <w:b/>
                <w:bCs/>
                <w:color w:val="0E2841"/>
                <w:sz w:val="19"/>
                <w:szCs w:val="19"/>
              </w:rPr>
              <w:t>1 997,57</w:t>
            </w:r>
          </w:p>
        </w:tc>
        <w:tc>
          <w:tcPr>
            <w:tcW w:w="1400" w:type="dxa"/>
            <w:shd w:val="clear" w:color="auto" w:fill="FFFFFF"/>
            <w:tcMar>
              <w:top w:w="70" w:type="dxa"/>
              <w:left w:w="120" w:type="dxa"/>
              <w:bottom w:w="70" w:type="dxa"/>
              <w:right w:w="100" w:type="dxa"/>
            </w:tcMar>
          </w:tcPr>
          <w:p w14:paraId="3E14B79C" w14:textId="77777777" w:rsidR="00655BAE" w:rsidRDefault="00000000">
            <w:r>
              <w:rPr>
                <w:b/>
                <w:bCs/>
                <w:color w:val="0E2841"/>
                <w:sz w:val="19"/>
                <w:szCs w:val="19"/>
              </w:rPr>
              <w:t>13 252,22</w:t>
            </w:r>
          </w:p>
        </w:tc>
        <w:tc>
          <w:tcPr>
            <w:tcW w:w="1800" w:type="dxa"/>
            <w:shd w:val="clear" w:color="auto" w:fill="FFFFFF"/>
            <w:tcMar>
              <w:top w:w="70" w:type="dxa"/>
              <w:left w:w="120" w:type="dxa"/>
              <w:bottom w:w="70" w:type="dxa"/>
              <w:right w:w="100" w:type="dxa"/>
            </w:tcMar>
          </w:tcPr>
          <w:p w14:paraId="3BD4BC68" w14:textId="77777777" w:rsidR="00655BAE" w:rsidRDefault="00000000">
            <w:r>
              <w:rPr>
                <w:b/>
                <w:bCs/>
                <w:color w:val="0E2841"/>
                <w:sz w:val="19"/>
                <w:szCs w:val="19"/>
              </w:rPr>
              <w:t>96 078,62</w:t>
            </w:r>
          </w:p>
        </w:tc>
      </w:tr>
    </w:tbl>
    <w:p w14:paraId="76E3D5AB" w14:textId="77777777" w:rsidR="00655BAE" w:rsidRDefault="00655BAE">
      <w:pPr>
        <w:spacing w:after="60"/>
      </w:pPr>
    </w:p>
    <w:p w14:paraId="1D88F1E4" w14:textId="77777777" w:rsidR="00655BAE" w:rsidRDefault="00000000">
      <w:pPr>
        <w:spacing w:line="264" w:lineRule="auto"/>
        <w:jc w:val="both"/>
      </w:pPr>
      <w:r>
        <w:rPr>
          <w:i/>
          <w:iCs/>
          <w:color w:val="5A6472"/>
          <w:sz w:val="18"/>
          <w:szCs w:val="18"/>
        </w:rPr>
        <w:t>Montants en USD. Ces primes correspondent aux polices locales émises par SFA Congo via AIB.</w:t>
      </w:r>
    </w:p>
    <w:p w14:paraId="29B4798B" w14:textId="77777777" w:rsidR="00655BAE" w:rsidRDefault="00655BAE">
      <w:pPr>
        <w:spacing w:after="240"/>
      </w:pPr>
    </w:p>
    <w:p w14:paraId="0BA78870" w14:textId="240CD0AD" w:rsidR="00655BAE" w:rsidRDefault="00000000">
      <w:pPr>
        <w:keepNext/>
        <w:pBdr>
          <w:bottom w:val="single" w:sz="18" w:space="0" w:color="E97132"/>
        </w:pBdr>
        <w:spacing w:before="300" w:after="140"/>
      </w:pPr>
      <w:r>
        <w:rPr>
          <w:b/>
          <w:bCs/>
          <w:color w:val="E97132"/>
          <w:sz w:val="26"/>
          <w:szCs w:val="26"/>
        </w:rPr>
        <w:lastRenderedPageBreak/>
        <w:t xml:space="preserve">9   </w:t>
      </w:r>
      <w:r>
        <w:rPr>
          <w:b/>
          <w:bCs/>
          <w:caps/>
          <w:color w:val="0E2841"/>
          <w:sz w:val="26"/>
          <w:szCs w:val="26"/>
        </w:rPr>
        <w:t>Votre contact chez AIB</w:t>
      </w:r>
    </w:p>
    <w:tbl>
      <w:tblPr>
        <w:tblW w:w="5000" w:type="pct"/>
        <w:tblBorders>
          <w:top w:val="none" w:sz="0" w:space="0" w:color="FFFFFF"/>
          <w:left w:val="single" w:sz="28" w:space="0" w:color="E97132"/>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9805"/>
      </w:tblGrid>
      <w:tr w:rsidR="00655BAE" w14:paraId="4D36B733" w14:textId="77777777">
        <w:tblPrEx>
          <w:tblCellMar>
            <w:top w:w="0" w:type="dxa"/>
            <w:bottom w:w="0" w:type="dxa"/>
          </w:tblCellMar>
        </w:tblPrEx>
        <w:tc>
          <w:tcPr>
            <w:tcW w:w="9360" w:type="dxa"/>
            <w:shd w:val="clear" w:color="auto" w:fill="EEF2F7"/>
            <w:tcMar>
              <w:top w:w="120" w:type="dxa"/>
              <w:left w:w="200" w:type="dxa"/>
              <w:bottom w:w="120" w:type="dxa"/>
              <w:right w:w="160" w:type="dxa"/>
            </w:tcMar>
          </w:tcPr>
          <w:p w14:paraId="3529FA58" w14:textId="16901B16" w:rsidR="00655BAE" w:rsidRDefault="00000000">
            <w:pPr>
              <w:spacing w:after="60" w:line="258" w:lineRule="auto"/>
              <w:jc w:val="both"/>
            </w:pPr>
            <w:r>
              <w:rPr>
                <w:b/>
                <w:bCs/>
                <w:color w:val="0E2841"/>
                <w:sz w:val="22"/>
                <w:szCs w:val="22"/>
              </w:rPr>
              <w:t>Serge SULA BOSIO</w:t>
            </w:r>
            <w:r>
              <w:rPr>
                <w:color w:val="1A1A1A"/>
                <w:sz w:val="20"/>
                <w:szCs w:val="20"/>
              </w:rPr>
              <w:t xml:space="preserve">   —   Directeur des Opérations</w:t>
            </w:r>
          </w:p>
          <w:p w14:paraId="2675CAA7" w14:textId="77777777" w:rsidR="00655BAE" w:rsidRDefault="00000000">
            <w:pPr>
              <w:spacing w:after="60" w:line="258" w:lineRule="auto"/>
              <w:jc w:val="both"/>
            </w:pPr>
            <w:r>
              <w:rPr>
                <w:color w:val="1A1A1A"/>
                <w:sz w:val="20"/>
                <w:szCs w:val="20"/>
              </w:rPr>
              <w:t>Tél. : +243 82 872 77 06 / +243 975 33 88 33   ·   ssula@aib-brokers.com</w:t>
            </w:r>
          </w:p>
          <w:p w14:paraId="0FEC237D" w14:textId="77777777" w:rsidR="00655BAE" w:rsidRDefault="00000000">
            <w:pPr>
              <w:spacing w:after="60" w:line="258" w:lineRule="auto"/>
              <w:jc w:val="both"/>
            </w:pPr>
            <w:r>
              <w:rPr>
                <w:color w:val="1A1A1A"/>
                <w:sz w:val="12"/>
                <w:szCs w:val="12"/>
              </w:rPr>
              <w:t xml:space="preserve"> </w:t>
            </w:r>
          </w:p>
          <w:p w14:paraId="711A3C70" w14:textId="316BDCC8" w:rsidR="00655BAE" w:rsidRDefault="00000000">
            <w:pPr>
              <w:spacing w:after="60" w:line="258" w:lineRule="auto"/>
              <w:jc w:val="both"/>
            </w:pPr>
            <w:r>
              <w:rPr>
                <w:b/>
                <w:bCs/>
                <w:color w:val="0E2841"/>
                <w:sz w:val="22"/>
                <w:szCs w:val="22"/>
              </w:rPr>
              <w:t>Armande ISAMENE</w:t>
            </w:r>
            <w:r>
              <w:rPr>
                <w:color w:val="1A1A1A"/>
                <w:sz w:val="20"/>
                <w:szCs w:val="20"/>
              </w:rPr>
              <w:t xml:space="preserve">   —   Assistante administrative</w:t>
            </w:r>
          </w:p>
          <w:p w14:paraId="168D8036" w14:textId="77777777" w:rsidR="00655BAE" w:rsidRDefault="00000000">
            <w:pPr>
              <w:spacing w:after="60" w:line="258" w:lineRule="auto"/>
              <w:jc w:val="both"/>
            </w:pPr>
            <w:r>
              <w:rPr>
                <w:color w:val="1A1A1A"/>
                <w:sz w:val="20"/>
                <w:szCs w:val="20"/>
              </w:rPr>
              <w:t>Tél. : +243 824 900 814 / +243 854 40 39 15   ·   aisamene@aib-brokers.com</w:t>
            </w:r>
          </w:p>
          <w:p w14:paraId="4D7C6445" w14:textId="77777777" w:rsidR="00655BAE" w:rsidRDefault="00000000">
            <w:pPr>
              <w:spacing w:after="60" w:line="258" w:lineRule="auto"/>
              <w:jc w:val="both"/>
            </w:pPr>
            <w:r>
              <w:rPr>
                <w:color w:val="1A1A1A"/>
                <w:sz w:val="12"/>
                <w:szCs w:val="12"/>
              </w:rPr>
              <w:t xml:space="preserve"> </w:t>
            </w:r>
          </w:p>
          <w:p w14:paraId="381F7DF0" w14:textId="612EF0CC" w:rsidR="00655BAE" w:rsidRDefault="00000000">
            <w:pPr>
              <w:spacing w:after="60" w:line="258" w:lineRule="auto"/>
              <w:jc w:val="both"/>
            </w:pPr>
            <w:r>
              <w:rPr>
                <w:color w:val="1A1A1A"/>
                <w:sz w:val="20"/>
                <w:szCs w:val="20"/>
              </w:rPr>
              <w:t xml:space="preserve">AIB RDC Sarl · Prins van Luikschool, Av. de la Gombe, Gombe, Kinshasa, RDC</w:t>
            </w:r>
          </w:p>
          <w:p w14:paraId="2B2F35FB" w14:textId="588F6150" w:rsidR="00655BAE" w:rsidRDefault="003A0EE6">
            <w:pPr>
              <w:spacing w:line="258" w:lineRule="auto"/>
              <w:jc w:val="both"/>
            </w:pPr>
            <w:r>
              <w:rPr>
                <w:color w:val="1A1A1A"/>
                <w:sz w:val="20"/>
                <w:szCs w:val="20"/>
              </w:rPr>
              <w:t xml:space="preserve">www.aib-brokers.com · Angola | RDC | Tanzanie | Mozambique s· Membre du réseau Marsh</w:t>
            </w:r>
          </w:p>
        </w:tc>
      </w:tr>
    </w:tbl>
    <w:p w14:paraId="471EF146" w14:textId="77777777" w:rsidR="00655BAE" w:rsidRDefault="00655BAE">
      <w:pPr>
        <w:spacing w:after="80"/>
      </w:pPr>
    </w:p>
    <w:p w14:paraId="091AEACB" w14:textId="77777777" w:rsidR="00655BAE" w:rsidRDefault="00000000">
      <w:pPr>
        <w:spacing w:after="120" w:line="264" w:lineRule="auto"/>
        <w:jc w:val="both"/>
      </w:pPr>
      <w:r>
        <w:rPr>
          <w:color w:val="1A1A1A"/>
        </w:rPr>
        <w:t>Nous restons à votre disposition pour détailler toute garantie, simuler un scénario de sinistre ou vous accompagner dans la déclaration d'un incident.</w:t>
      </w:r>
    </w:p>
    <w:sectPr w:rsidR="00655BAE">
      <w:headerReference w:type="default" r:id="rId7"/>
      <w:footerReference w:type="default" r:id="rId8"/>
      <w:pgSz w:w="12240" w:h="15840"/>
      <w:pgMar w:top="1180" w:right="1200" w:bottom="11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23D63" w14:textId="77777777" w:rsidR="00CF6489" w:rsidRDefault="00CF6489">
      <w:r>
        <w:separator/>
      </w:r>
    </w:p>
  </w:endnote>
  <w:endnote w:type="continuationSeparator" w:id="0">
    <w:p w14:paraId="72954DEC" w14:textId="77777777" w:rsidR="00CF6489" w:rsidRDefault="00CF6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DCA1" w14:textId="77777777" w:rsidR="00655BAE" w:rsidRDefault="00000000">
    <w:pPr>
      <w:pBdr>
        <w:top w:val="single" w:sz="4" w:space="0" w:color="D6DEE8"/>
      </w:pBdr>
      <w:spacing w:before="60"/>
      <w:jc w:val="center"/>
    </w:pPr>
    <w:r>
      <w:rPr>
        <w:color w:val="5A6472"/>
        <w:sz w:val="15"/>
        <w:szCs w:val="15"/>
      </w:rPr>
      <w:t xml:space="preserve">AIB RDC </w:t>
    </w:r>
    <w:proofErr w:type="gramStart"/>
    <w:r>
      <w:rPr>
        <w:color w:val="5A6472"/>
        <w:sz w:val="15"/>
        <w:szCs w:val="15"/>
      </w:rPr>
      <w:t>Sarl  ·</w:t>
    </w:r>
    <w:proofErr w:type="gramEnd"/>
    <w:r>
      <w:rPr>
        <w:color w:val="5A6472"/>
        <w:sz w:val="15"/>
        <w:szCs w:val="15"/>
      </w:rPr>
      <w:t xml:space="preserve">  Note technique – Programme Standard Bank DRC 2025-</w:t>
    </w:r>
    <w:proofErr w:type="gramStart"/>
    <w:r>
      <w:rPr>
        <w:color w:val="5A6472"/>
        <w:sz w:val="15"/>
        <w:szCs w:val="15"/>
      </w:rPr>
      <w:t>2026  ·</w:t>
    </w:r>
    <w:proofErr w:type="gramEnd"/>
    <w:r>
      <w:rPr>
        <w:color w:val="5A6472"/>
        <w:sz w:val="15"/>
        <w:szCs w:val="15"/>
      </w:rPr>
      <w:t xml:space="preserve">  Page </w:t>
    </w:r>
    <w:r>
      <w:rPr>
        <w:color w:val="5A6472"/>
        <w:sz w:val="15"/>
        <w:szCs w:val="15"/>
      </w:rPr>
      <w:fldChar w:fldCharType="begin"/>
    </w:r>
    <w:r>
      <w:rPr>
        <w:color w:val="5A6472"/>
        <w:sz w:val="15"/>
        <w:szCs w:val="15"/>
      </w:rPr>
      <w:instrText>PAGE</w:instrText>
    </w:r>
    <w:r>
      <w:rPr>
        <w:color w:val="5A6472"/>
        <w:sz w:val="15"/>
        <w:szCs w:val="15"/>
      </w:rPr>
      <w:fldChar w:fldCharType="separate"/>
    </w:r>
    <w:r w:rsidR="00F61D93">
      <w:rPr>
        <w:noProof/>
        <w:color w:val="5A6472"/>
        <w:sz w:val="15"/>
        <w:szCs w:val="15"/>
      </w:rPr>
      <w:t>2</w:t>
    </w:r>
    <w:r>
      <w:rPr>
        <w:color w:val="5A6472"/>
        <w:sz w:val="15"/>
        <w:szCs w:val="15"/>
      </w:rPr>
      <w:fldChar w:fldCharType="end"/>
    </w:r>
    <w:r>
      <w:rPr>
        <w:color w:val="5A6472"/>
        <w:sz w:val="15"/>
        <w:szCs w:val="15"/>
      </w:rPr>
      <w:t xml:space="preserve"> / </w:t>
    </w:r>
    <w:r>
      <w:rPr>
        <w:color w:val="5A6472"/>
        <w:sz w:val="15"/>
        <w:szCs w:val="15"/>
      </w:rPr>
      <w:fldChar w:fldCharType="begin"/>
    </w:r>
    <w:r>
      <w:rPr>
        <w:color w:val="5A6472"/>
        <w:sz w:val="15"/>
        <w:szCs w:val="15"/>
      </w:rPr>
      <w:instrText>NUMPAGES</w:instrText>
    </w:r>
    <w:r>
      <w:rPr>
        <w:color w:val="5A6472"/>
        <w:sz w:val="15"/>
        <w:szCs w:val="15"/>
      </w:rPr>
      <w:fldChar w:fldCharType="separate"/>
    </w:r>
    <w:r w:rsidR="00F61D93">
      <w:rPr>
        <w:noProof/>
        <w:color w:val="5A6472"/>
        <w:sz w:val="15"/>
        <w:szCs w:val="15"/>
      </w:rPr>
      <w:t>3</w:t>
    </w:r>
    <w:r>
      <w:rPr>
        <w:color w:val="5A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381DC" w14:textId="77777777" w:rsidR="00CF6489" w:rsidRDefault="00CF6489">
      <w:r>
        <w:separator/>
      </w:r>
    </w:p>
  </w:footnote>
  <w:footnote w:type="continuationSeparator" w:id="0">
    <w:p w14:paraId="368F2ABB" w14:textId="77777777" w:rsidR="00CF6489" w:rsidRDefault="00CF6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right"/>
    </w:pPr>
    <w:r>
      <w:drawing>
        <wp:inline distT="0" distB="0" distL="0" distR="0">
          <wp:extent cx="822960" cy="342221"/>
          <wp:effectExtent l="0" t="0" r="0" b="0"/>
          <wp:docPr id="201" name="Logo AIB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Logo AIB header"/>
                  <pic:cNvPicPr/>
                </pic:nvPicPr>
                <pic:blipFill>
                  <a:blip r:embed="rId100"/>
                  <a:stretch>
                    <a:fillRect/>
                  </a:stretch>
                </pic:blipFill>
                <pic:spPr>
                  <a:xfrm>
                    <a:off x="0" y="0"/>
                    <a:ext cx="822960" cy="3422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10FF4"/>
    <w:multiLevelType w:val="hybridMultilevel"/>
    <w:tmpl w:val="5C7EB59E"/>
    <w:lvl w:ilvl="0" w:tplc="0BA628FE">
      <w:start w:val="1"/>
      <w:numFmt w:val="bullet"/>
      <w:lvlText w:val="●"/>
      <w:lvlJc w:val="left"/>
      <w:pPr>
        <w:ind w:left="720" w:hanging="360"/>
      </w:pPr>
    </w:lvl>
    <w:lvl w:ilvl="1" w:tplc="E9B08BD4">
      <w:start w:val="1"/>
      <w:numFmt w:val="bullet"/>
      <w:lvlText w:val="○"/>
      <w:lvlJc w:val="left"/>
      <w:pPr>
        <w:ind w:left="1440" w:hanging="360"/>
      </w:pPr>
    </w:lvl>
    <w:lvl w:ilvl="2" w:tplc="C4349900">
      <w:start w:val="1"/>
      <w:numFmt w:val="bullet"/>
      <w:lvlText w:val="■"/>
      <w:lvlJc w:val="left"/>
      <w:pPr>
        <w:ind w:left="2160" w:hanging="360"/>
      </w:pPr>
    </w:lvl>
    <w:lvl w:ilvl="3" w:tplc="049AE2BC">
      <w:start w:val="1"/>
      <w:numFmt w:val="bullet"/>
      <w:lvlText w:val="●"/>
      <w:lvlJc w:val="left"/>
      <w:pPr>
        <w:ind w:left="2880" w:hanging="360"/>
      </w:pPr>
    </w:lvl>
    <w:lvl w:ilvl="4" w:tplc="D95E9DB6">
      <w:start w:val="1"/>
      <w:numFmt w:val="bullet"/>
      <w:lvlText w:val="○"/>
      <w:lvlJc w:val="left"/>
      <w:pPr>
        <w:ind w:left="3600" w:hanging="360"/>
      </w:pPr>
    </w:lvl>
    <w:lvl w:ilvl="5" w:tplc="D66CA622">
      <w:start w:val="1"/>
      <w:numFmt w:val="bullet"/>
      <w:lvlText w:val="■"/>
      <w:lvlJc w:val="left"/>
      <w:pPr>
        <w:ind w:left="4320" w:hanging="360"/>
      </w:pPr>
    </w:lvl>
    <w:lvl w:ilvl="6" w:tplc="E36C3E5C">
      <w:start w:val="1"/>
      <w:numFmt w:val="bullet"/>
      <w:lvlText w:val="●"/>
      <w:lvlJc w:val="left"/>
      <w:pPr>
        <w:ind w:left="5040" w:hanging="360"/>
      </w:pPr>
    </w:lvl>
    <w:lvl w:ilvl="7" w:tplc="A94A1B22">
      <w:start w:val="1"/>
      <w:numFmt w:val="bullet"/>
      <w:lvlText w:val="●"/>
      <w:lvlJc w:val="left"/>
      <w:pPr>
        <w:ind w:left="5760" w:hanging="360"/>
      </w:pPr>
    </w:lvl>
    <w:lvl w:ilvl="8" w:tplc="284407A2">
      <w:start w:val="1"/>
      <w:numFmt w:val="bullet"/>
      <w:lvlText w:val="●"/>
      <w:lvlJc w:val="left"/>
      <w:pPr>
        <w:ind w:left="6480" w:hanging="360"/>
      </w:pPr>
    </w:lvl>
  </w:abstractNum>
  <w:num w:numId="1" w16cid:durableId="4112703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BAE"/>
    <w:rsid w:val="00366368"/>
    <w:rsid w:val="003A0EE6"/>
    <w:rsid w:val="00655BAE"/>
    <w:rsid w:val="006A0BD1"/>
    <w:rsid w:val="00A323BE"/>
    <w:rsid w:val="00CF6489"/>
    <w:rsid w:val="00DA0B79"/>
    <w:rsid w:val="00DB29C1"/>
    <w:rsid w:val="00F61D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95A4"/>
  <w15:docId w15:val="{6745CBA7-9CE6-4E77-9E8F-5EA9334E1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0" Type="http://schemas.openxmlformats.org/officeDocument/2006/relationships/image" Target="media/logo_aib.png"/></Relationships>
</file>

<file path=word/_rels/header1.xml.rels><?xml version="1.0" encoding="UTF-8" standalone="yes"?>
<Relationships xmlns="http://schemas.openxmlformats.org/package/2006/relationships"><Relationship Id="rId100" Type="http://schemas.openxmlformats.org/officeDocument/2006/relationships/image" Target="media/logo_aib.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7</Pages>
  <Words>1963</Words>
  <Characters>10801</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Note technique - Programme d'assurance Standard Bank DRC 2025-2026</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technique - Programme d'assurance Standard Bank DRC 2025-2026</dc:title>
  <dc:creator>David KINI</dc:creator>
  <cp:lastModifiedBy>david Kini</cp:lastModifiedBy>
  <cp:revision>8</cp:revision>
  <dcterms:created xsi:type="dcterms:W3CDTF">2026-07-06T12:37:00Z</dcterms:created>
  <dcterms:modified xsi:type="dcterms:W3CDTF">2026-07-06T14:52:00Z</dcterms:modified>
</cp:coreProperties>
</file>