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w:t>
      </w:r>
      <w:r w:rsidDel="00000000" w:rsidR="00000000" w:rsidRPr="00000000">
        <w:rPr>
          <w:sz w:val="44"/>
          <w:szCs w:val="44"/>
          <w:rtl w:val="0"/>
        </w:rPr>
        <w:t xml:space="preserve">StRS</w:t>
      </w:r>
      <w:r w:rsidDel="00000000" w:rsidR="00000000" w:rsidRPr="00000000">
        <w:rPr>
          <w:sz w:val="44"/>
          <w:szCs w:val="44"/>
          <w:rtl w:val="0"/>
        </w:rPr>
        <w:t xml:space="preserve">)</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[2. Εταιρείες παραγωγής ηλεκτρικής ενέργειας]</w:t>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sz w:val="20"/>
          <w:szCs w:val="20"/>
          <w:rtl w:val="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Ο ενδιαφερόμενος χρησιμοποιεί την ιστοσελίδα και την διάθεση των πόρων για να εξάγει μέσω αυτής τις </w:t>
      </w:r>
      <w:r w:rsidDel="00000000" w:rsidR="00000000" w:rsidRPr="00000000">
        <w:rPr>
          <w:sz w:val="20"/>
          <w:szCs w:val="20"/>
          <w:rtl w:val="0"/>
        </w:rPr>
        <w:t xml:space="preserve">απαραίτητες</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για αυτόν και την επιχείρησή του πληροφορίες.</w:t>
      </w:r>
      <w:r w:rsidDel="00000000" w:rsidR="00000000" w:rsidRPr="00000000">
        <w:rPr>
          <w:sz w:val="20"/>
          <w:szCs w:val="20"/>
          <w:rtl w:val="0"/>
        </w:rPr>
        <w:t xml:space="preserve">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Μετά την απόκτηση αυτών των πληροφοριών, μπορούν να παρθούν αποφάσεις σχετικά με επένδυση στην παραγωγή και αγοραπωλησία ενέργειας (με βάση τον τύπο παραγωγής), και διεξαγωγή ερευνών στα πλαίσια του ενεργειακού παρασκηνίου της Ευρώπης.</w:t>
      </w:r>
    </w:p>
    <w:p w:rsidR="00000000" w:rsidDel="00000000" w:rsidP="00000000" w:rsidRDefault="00000000" w:rsidRPr="00000000" w14:paraId="0000000A">
      <w:pPr>
        <w:pStyle w:val="Heading1"/>
        <w:numPr>
          <w:ilvl w:val="0"/>
          <w:numId w:val="1"/>
        </w:numPr>
        <w:spacing w:after="240" w:before="240" w:lineRule="auto"/>
      </w:pPr>
      <w:r w:rsidDel="00000000" w:rsidR="00000000" w:rsidRPr="00000000">
        <w:rPr>
          <w:rtl w:val="0"/>
        </w:rPr>
        <w:t xml:space="preserve"> </w:t>
      </w:r>
      <w:r w:rsidDel="00000000" w:rsidR="00000000" w:rsidRPr="00000000">
        <w:rPr>
          <w:sz w:val="28"/>
          <w:szCs w:val="28"/>
          <w:rtl w:val="0"/>
        </w:rPr>
        <w:t xml:space="preserve">Αναφορές - πηγές πληροφοριών</w:t>
      </w:r>
    </w:p>
    <w:p w:rsidR="00000000" w:rsidDel="00000000" w:rsidP="00000000" w:rsidRDefault="00000000" w:rsidRPr="00000000" w14:paraId="0000000B">
      <w:pPr>
        <w:pStyle w:val="Heading1"/>
        <w:spacing w:before="120" w:lineRule="auto"/>
        <w:ind w:left="0" w:firstLine="0"/>
        <w:rPr/>
      </w:pPr>
      <w:bookmarkStart w:colFirst="0" w:colLast="0" w:name="_heading=h.hx0kkquy4s92" w:id="0"/>
      <w:bookmarkEnd w:id="0"/>
      <w:r w:rsidDel="00000000" w:rsidR="00000000" w:rsidRPr="00000000">
        <w:rPr>
          <w:i w:val="1"/>
          <w:sz w:val="28"/>
          <w:szCs w:val="28"/>
          <w:rtl w:val="0"/>
        </w:rPr>
        <w:t xml:space="preserve">Ν/Α</w:t>
      </w:r>
      <w:r w:rsidDel="00000000" w:rsidR="00000000" w:rsidRPr="00000000">
        <w:rPr>
          <w:rtl w:val="0"/>
        </w:rPr>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D">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Επιχειρησιακές διαδικασίες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Ο χρήστης / εταιρικό πρόσωπο μπορεί να λαμβάνει καθημερινά και με αυτοματοποιημένο τρόπο ενημερώσεις και ένα πλήθος μετρήσεων σχετικά με την παραγωγή και κατανάλωση ενέργειας στην Ευρώπη.</w:t>
      </w:r>
      <w:r w:rsidDel="00000000" w:rsidR="00000000" w:rsidRPr="00000000">
        <w:rPr>
          <w:sz w:val="20"/>
          <w:szCs w:val="20"/>
          <w:rtl w:val="0"/>
        </w:rPr>
        <w:t xml:space="preserve">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Βασισμένος σε αυτές, μπορεί να επηρεάζει κατάλληλα τις επιχειρησιακές του κινήσεις για όποιο όφελος επιλέξει.</w:t>
      </w:r>
      <w:r w:rsidDel="00000000" w:rsidR="00000000" w:rsidRPr="00000000">
        <w:rPr>
          <w:sz w:val="20"/>
          <w:szCs w:val="20"/>
          <w:rtl w:val="0"/>
        </w:rPr>
        <w:t xml:space="preserve"> </w:t>
      </w:r>
      <w:r w:rsidDel="00000000" w:rsidR="00000000" w:rsidRPr="00000000">
        <w:rPr>
          <w:sz w:val="20"/>
          <w:szCs w:val="20"/>
          <w:rtl w:val="0"/>
        </w:rPr>
        <w:t xml:space="preserve">Ο χρήστης αυτός έχει ανάγκη να γνωρίζει βασικές πληροφορίες για όλες τις μορφές ενέργειας σε όλη την Ευρώπη και σε αρκετά μεγάλο βάθος χρόνου, προκειμένου να μπορέσει να αποφασίσει το πού και με ποια μορφή θα υλοποιούν τα επενδυτικά του σχέδια. Οι στόχοι του χρήστη είναι να βρει το ένα μέρος στο οποίο, χρησιμοποιώντας και πολλές άλλες πληροφορίες, θα είναι συμφέρον το να δημιουργήσει την επιχείρησή του. Ένας άλλος στόχος είναι το να παρατηρηθεί η σταθερότητα της αγοράς σε συγκεκριμένα μέρη.</w:t>
      </w:r>
      <w:r w:rsidDel="00000000" w:rsidR="00000000" w:rsidRPr="00000000">
        <w:rPr>
          <w:rtl w:val="0"/>
        </w:rPr>
      </w:r>
    </w:p>
    <w:p w:rsidR="00000000" w:rsidDel="00000000" w:rsidP="00000000" w:rsidRDefault="00000000" w:rsidRPr="00000000" w14:paraId="0000000F">
      <w:pPr>
        <w:pStyle w:val="Heading2"/>
        <w:rPr>
          <w:i w:val="1"/>
          <w:color w:val="1c1c1c"/>
          <w:sz w:val="20"/>
          <w:szCs w:val="20"/>
        </w:rPr>
      </w:pPr>
      <w:r w:rsidDel="00000000" w:rsidR="00000000" w:rsidRPr="00000000">
        <w:rPr>
          <w:rtl w:val="0"/>
        </w:rPr>
        <w:t xml:space="preserve">3</w:t>
      </w:r>
      <w:r w:rsidDel="00000000" w:rsidR="00000000" w:rsidRPr="00000000">
        <w:rPr>
          <w:rtl w:val="0"/>
        </w:rPr>
        <w:t xml:space="preserve">.2</w:t>
        <w:tab/>
        <w:tab/>
        <w:t xml:space="preserve">Δείκτες ποιότητας </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Αξιοπιστία δεδομένων, αποκρισιμότητα εφαρμογής, ελάχιστο latency και μέγιστο δυνατό throughput, μικρό downtime και εύχρηστη εφαρμογή (UI/UX). </w:t>
      </w:r>
    </w:p>
    <w:p w:rsidR="00000000" w:rsidDel="00000000" w:rsidP="00000000" w:rsidRDefault="00000000" w:rsidRPr="00000000" w14:paraId="00000011">
      <w:pPr>
        <w:pStyle w:val="Heading1"/>
        <w:numPr>
          <w:ilvl w:val="0"/>
          <w:numId w:val="1"/>
        </w:numPr>
        <w:ind w:left="360" w:hanging="360"/>
        <w:rPr/>
      </w:pPr>
      <w:r w:rsidDel="00000000" w:rsidR="00000000" w:rsidRPr="00000000">
        <w:rPr>
          <w:rtl w:val="0"/>
        </w:rPr>
        <w:t xml:space="preserve">Έκθεση απαιτήσεων χρηστών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Βασική πλοήγηση μεταξύ των χωρών, ιστορικό δεδομένων σε αρκετά μεγάλο βάθος χρόνου ώστε να είναι δυνατή η διεξαγωγή συμπερασμάτων για πιθανές τάσεις του κλάδου, ξεκάθαρα αποτελέσματα με υψηλή ακρίβεια μετά από τις αναζητήσεις, ευκολία στη χρήση του με ξεκαθαρο και intuitive interface, εύκολη διατηρησιμότητα, χαμηλό χρόνο επανεκκίνησης συστήματος σε περίπτωση σφάλματος, μεγάλη αποκρισιμότητα σε εκτενή queries, δυνατότητα για προσθήκη επιπλέον δυνατοτήτων στο άμεσο μέλλον</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3">
      <w:pPr>
        <w:pStyle w:val="Heading1"/>
        <w:numPr>
          <w:ilvl w:val="0"/>
          <w:numId w:val="1"/>
        </w:numPr>
        <w:ind w:left="360" w:hanging="360"/>
        <w:rPr/>
      </w:pPr>
      <w:r w:rsidDel="00000000" w:rsidR="00000000" w:rsidRPr="00000000">
        <w:rPr>
          <w:rtl w:val="0"/>
        </w:rPr>
        <w:t xml:space="preserve">Αρχές του προτεινόμενου συστήματος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Το σύστημα του stakeholder ιδανικά θα πρέπει να έχει επίγνωση 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w:t>
      </w:r>
      <w:r w:rsidDel="00000000" w:rsidR="00000000" w:rsidRPr="00000000">
        <w:rPr>
          <w:sz w:val="20"/>
          <w:szCs w:val="20"/>
          <w:rtl w:val="0"/>
        </w:rPr>
        <w:t xml:space="preserve">επικαλυπτόμενων</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κλήσεων προς το σύστημα, και να βελτιστοποιήσει την στρατηγική κατανάλωσης των πόρων του.</w:t>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Το σύστημα είναι δίκαιο και διαχειρίζεται όλους τους χρήστες/εμπλεκόμενους ως ίσους. Όλοι οι χρήστες μπορούν να έχουν πρόσβαση σε όλα τα δεδομένα, με τη συχνότητα που ορίζει το κοινό σε όλους quota.</w:t>
      </w:r>
    </w:p>
    <w:p w:rsidR="00000000" w:rsidDel="00000000" w:rsidP="00000000" w:rsidRDefault="00000000" w:rsidRPr="00000000" w14:paraId="00000017">
      <w:pPr>
        <w:rPr>
          <w:sz w:val="21"/>
          <w:szCs w:val="21"/>
        </w:rPr>
      </w:pPr>
      <w:r w:rsidDel="00000000" w:rsidR="00000000" w:rsidRPr="00000000">
        <w:rPr>
          <w:rtl w:val="0"/>
        </w:rPr>
      </w:r>
    </w:p>
    <w:sectPr>
      <w:footerReference r:id="rId7"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18"/>
        <w:szCs w:val="18"/>
        <w:rtl w:val="0"/>
      </w:rPr>
      <w:t xml:space="preserve">Power Rangers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(20</w:t>
    </w:r>
    <w:r w:rsidDel="00000000" w:rsidR="00000000" w:rsidRPr="00000000">
      <w:rPr>
        <w:sz w:val="18"/>
        <w:szCs w:val="18"/>
        <w:rtl w:val="0"/>
      </w:rPr>
      <w:t xml:space="preserve">20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C87106"/>
    <w:pPr>
      <w:widowControl w:val="1"/>
      <w:bidi w:val="0"/>
      <w:snapToGrid w:val="0"/>
      <w:spacing w:after="0" w:before="120"/>
      <w:jc w:val="left"/>
    </w:pPr>
    <w:rPr>
      <w:rFonts w:ascii="Calibri" w:cs="" w:eastAsia="Calibri" w:hAnsi="Calibri" w:asciiTheme="minorHAnsi" w:cstheme="minorBidi" w:eastAsiaTheme="minorHAnsi" w:hAnsiTheme="minorHAnsi"/>
      <w:color w:val="auto"/>
      <w:kern w:val="0"/>
      <w:sz w:val="24"/>
      <w:szCs w:val="24"/>
      <w:lang w:bidi="ar-SA" w:eastAsia="en-US" w:val="el-GR"/>
    </w:rPr>
  </w:style>
  <w:style w:type="paragraph" w:styleId="Heading1">
    <w:name w:val="Heading 1"/>
    <w:basedOn w:val="Normal"/>
    <w:next w:val="Normal"/>
    <w:link w:val="Heading1Char"/>
    <w:uiPriority w:val="9"/>
    <w:qFormat w:val="1"/>
    <w:rsid w:val="004276A5"/>
    <w:pPr>
      <w:keepNext w:val="1"/>
      <w:keepLines w:val="1"/>
      <w:numPr>
        <w:ilvl w:val="0"/>
        <w:numId w:val="1"/>
      </w:numPr>
      <w:spacing w:after="0" w:before="600"/>
      <w:outlineLvl w:val="0"/>
    </w:pPr>
    <w:rPr>
      <w:rFonts w:ascii="Calibri Light" w:cs="" w:eastAsia="" w:hAnsi="Calibri Light"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after="0" w:before="240"/>
      <w:ind w:left="567" w:hanging="567"/>
      <w:outlineLvl w:val="1"/>
    </w:pPr>
    <w:rPr>
      <w:rFonts w:ascii="Calibri Light" w:cs="" w:eastAsia="" w:hAnsi="Calibri Light"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276A5"/>
    <w:rPr>
      <w:rFonts w:ascii="Calibri Light" w:cs="" w:eastAsia="" w:hAnsi="Calibri Light"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val="1"/>
    <w:rsid w:val="00BE4961"/>
    <w:rPr>
      <w:rFonts w:ascii="Calibri Light" w:cs="" w:eastAsia="" w:hAnsi="Calibri Light"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val="1"/>
    <w:rsid w:val="00772CA3"/>
    <w:rPr>
      <w:rFonts w:ascii="Calibri Light" w:cs="" w:eastAsia="" w:hAnsi="Calibri Light"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val="1"/>
    <w:rsid w:val="00651715"/>
    <w:rPr>
      <w:lang w:val="el-GR"/>
    </w:rPr>
  </w:style>
  <w:style w:type="character" w:styleId="FooterChar" w:customStyle="1">
    <w:name w:val="Footer Char"/>
    <w:basedOn w:val="DefaultParagraphFont"/>
    <w:link w:val="Footer"/>
    <w:uiPriority w:val="99"/>
    <w:qFormat w:val="1"/>
    <w:rsid w:val="00651715"/>
    <w:rPr>
      <w:lang w:val="el-GR"/>
    </w:rPr>
  </w:style>
  <w:style w:type="character" w:styleId="SubtitleChar" w:customStyle="1">
    <w:name w:val="Subtitle Char"/>
    <w:basedOn w:val="DefaultParagraphFont"/>
    <w:link w:val="Subtitle"/>
    <w:uiPriority w:val="11"/>
    <w:qFormat w:val="1"/>
    <w:rsid w:val="00A642AE"/>
    <w:rPr>
      <w:rFonts w:eastAsia="" w:eastAsiaTheme="minorEastAsia"/>
      <w:color w:val="5a5a5a" w:themeColor="text1" w:themeTint="0000A5"/>
      <w:spacing w:val="15"/>
      <w:sz w:val="28"/>
      <w:szCs w:val="22"/>
      <w:lang w:val="el-GR"/>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customStyle="1">
    <w:name w:val="Description"/>
    <w:basedOn w:val="Normal"/>
    <w:qFormat w:val="1"/>
    <w:rsid w:val="00772CA3"/>
    <w:pPr/>
    <w:rPr>
      <w:i w:val="1"/>
      <w:color w:val="8496b0" w:themeColor="text2" w:themeTint="000099"/>
      <w:sz w:val="20"/>
    </w:rPr>
  </w:style>
  <w:style w:type="paragraph" w:styleId="Title">
    <w:name w:val="Title"/>
    <w:basedOn w:val="Normal"/>
    <w:next w:val="Normal"/>
    <w:link w:val="TitleChar"/>
    <w:uiPriority w:val="10"/>
    <w:qFormat w:val="1"/>
    <w:rsid w:val="00772CA3"/>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val="1"/>
    <w:rsid w:val="00651715"/>
    <w:pPr>
      <w:tabs>
        <w:tab w:val="center" w:leader="none" w:pos="4680"/>
        <w:tab w:val="right" w:leader="none" w:pos="9360"/>
      </w:tabs>
      <w:spacing w:after="0" w:before="0"/>
    </w:pPr>
    <w:rPr/>
  </w:style>
  <w:style w:type="paragraph" w:styleId="Footer">
    <w:name w:val="Footer"/>
    <w:basedOn w:val="Normal"/>
    <w:link w:val="FooterChar"/>
    <w:uiPriority w:val="99"/>
    <w:unhideWhenUsed w:val="1"/>
    <w:rsid w:val="00651715"/>
    <w:pPr>
      <w:tabs>
        <w:tab w:val="center" w:leader="none" w:pos="4680"/>
        <w:tab w:val="right" w:leader="none" w:pos="9360"/>
      </w:tabs>
      <w:spacing w:after="0" w:before="0"/>
    </w:pPr>
    <w:rPr/>
  </w:style>
  <w:style w:type="paragraph" w:styleId="Subtitle">
    <w:name w:val="Subtitle"/>
    <w:basedOn w:val="Normal"/>
    <w:next w:val="Normal"/>
    <w:link w:val="SubtitleChar"/>
    <w:uiPriority w:val="11"/>
    <w:qFormat w:val="1"/>
    <w:rsid w:val="00A642AE"/>
    <w:pPr>
      <w:spacing w:after="160" w:before="120"/>
    </w:pPr>
    <w:rPr>
      <w:rFonts w:eastAsia="" w:eastAsiaTheme="minorEastAsia"/>
      <w:color w:val="5a5a5a" w:themeColor="text1" w:themeTint="0000A5"/>
      <w:spacing w:val="15"/>
      <w:sz w:val="28"/>
      <w:szCs w:val="22"/>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r6TanJ0vL8CNx/g8QZQXnqqSlQ==">AMUW2mVNqdtXk22hkVAk8w3jteO8sBW7470jeCNrlXmESug+xCUr+LtPGI9bmqtdPwkfRNm/PdEKF7ceTb19Qb+stPUISHklsMSWa8vTPueRyXMgI7OyL145OOvvfzfmN991QfBxLDzH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