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МИНИСТЕРСТВО НАУКИ И ВЫСШЕГО ОБРАЗОВАНИЯ 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РОССИЙСКОЙ ФЕДЕРАЦИИ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Федеральное государственное </w:t>
      </w:r>
      <w:r>
        <w:rPr>
          <w:lang w:val="ru"/>
        </w:rPr>
        <w:t xml:space="preserve">автономное</w:t>
      </w:r>
      <w:r>
        <w:rPr>
          <w:lang w:val="ru"/>
        </w:rPr>
        <w:t xml:space="preserve"> образовательное учреждение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высшего образования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«Московский государственный технический университет имени Н.Э.</w:t>
      </w:r>
      <w:r>
        <w:rPr>
          <w:lang w:val="ru"/>
        </w:rPr>
        <w:t xml:space="preserve"> </w:t>
      </w:r>
      <w:r>
        <w:rPr>
          <w:sz w:val="27"/>
          <w:szCs w:val="27"/>
          <w:lang w:val="ru"/>
        </w:rPr>
        <w:t xml:space="preserve">Баумана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  <w:t xml:space="preserve">(национальный исследовательский университет)»</w:t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jc w:val="both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rPr>
          <w:b/>
          <w:lang w:val="ru"/>
        </w:rPr>
      </w:pPr>
      <w:r>
        <w:rPr>
          <w:b/>
          <w:lang w:val="ru"/>
        </w:rPr>
        <w:t xml:space="preserve">ВЫПУСКНАЯ КВАЛИФИКАЦИОННАЯ РАБОТА </w:t>
      </w:r>
      <w:r>
        <w:rPr>
          <w:b/>
          <w:lang w:val="ru"/>
        </w:rPr>
      </w:r>
      <w:r>
        <w:rPr>
          <w:b/>
          <w:lang w:val="ru"/>
        </w:rPr>
      </w:r>
    </w:p>
    <w:p>
      <w:pPr>
        <w:pBdr/>
        <w:spacing w:line="240" w:lineRule="auto"/>
        <w:ind w:firstLine="0"/>
        <w:rPr>
          <w:b/>
          <w:lang w:val="en-US"/>
        </w:rPr>
      </w:pPr>
      <w:r>
        <w:rPr>
          <w:b/>
          <w:lang w:val="ru"/>
        </w:rPr>
        <w:t xml:space="preserve">по</w:t>
      </w:r>
      <w:r>
        <w:rPr>
          <w:b/>
          <w:lang w:val="en-US"/>
        </w:rPr>
        <w:t xml:space="preserve"> </w:t>
      </w:r>
      <w:r>
        <w:rPr>
          <w:b/>
          <w:lang w:val="ru"/>
        </w:rPr>
        <w:t xml:space="preserve">курсу</w:t>
      </w:r>
      <w:r>
        <w:rPr>
          <w:b/>
          <w:lang w:val="en-US"/>
        </w:rPr>
        <w:t xml:space="preserve"> </w:t>
      </w:r>
      <w:r>
        <w:rPr>
          <w:b/>
          <w:lang w:val="en-US"/>
        </w:rPr>
      </w:r>
      <w:r>
        <w:rPr>
          <w:b/>
          <w:lang w:val="en-US"/>
        </w:rPr>
      </w:r>
    </w:p>
    <w:p>
      <w:pPr>
        <w:pBdr/>
        <w:spacing w:line="240" w:lineRule="auto"/>
        <w:ind w:firstLine="0"/>
        <w:rPr>
          <w:lang w:val="en-US"/>
        </w:rPr>
      </w:pPr>
      <w:r>
        <w:rPr>
          <w:lang w:val="en-US"/>
        </w:rPr>
        <w:t xml:space="preserve">«Data Science</w:t>
      </w:r>
      <w:r>
        <w:rPr>
          <w:lang w:val="en-US"/>
        </w:rPr>
        <w:t xml:space="preserve"> </w:t>
      </w:r>
      <w:r>
        <w:rPr>
          <w:lang w:val="en-US"/>
        </w:rPr>
        <w:t xml:space="preserve">Pro</w:t>
      </w:r>
      <w:r>
        <w:rPr>
          <w:lang w:val="en-US"/>
        </w:rPr>
        <w:t xml:space="preserve">»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/>
      <w:bookmarkStart w:id="0" w:name="_heading=h.3rdcrjn"/>
      <w:r/>
      <w:bookmarkEnd w:id="0"/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jc w:val="both"/>
        <w:rPr>
          <w:u w:val="single"/>
          <w:lang w:val="en-US"/>
        </w:rPr>
      </w:pPr>
      <w:r>
        <w:rPr>
          <w:u w:val="single"/>
          <w:lang w:val="en-US"/>
        </w:rPr>
      </w:r>
      <w:r>
        <w:rPr>
          <w:u w:val="single"/>
          <w:lang w:val="en-US"/>
        </w:rPr>
      </w:r>
      <w:r>
        <w:rPr>
          <w:u w:val="single"/>
          <w:lang w:val="en-US"/>
        </w:rPr>
      </w:r>
    </w:p>
    <w:p>
      <w:pPr>
        <w:pBdr/>
        <w:spacing w:line="240" w:lineRule="auto"/>
        <w:ind w:firstLine="0"/>
        <w:jc w:val="both"/>
        <w:rPr>
          <w:u w:val="single"/>
          <w:lang w:val="ru"/>
        </w:rPr>
      </w:pPr>
      <w:r>
        <w:rPr>
          <w:lang w:val="ru"/>
        </w:rPr>
        <w:t xml:space="preserve">Слушатель</w:t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u w:val="single"/>
          <w:lang w:val="ru-RU"/>
        </w:rPr>
        <w:t xml:space="preserve">Лосяков Сергей Геннадьевич</w:t>
      </w:r>
      <w:r>
        <w:rPr>
          <w:u w:val="single"/>
          <w:lang w:val="ru"/>
        </w:rPr>
      </w:r>
      <w:r>
        <w:rPr>
          <w:u w:val="single"/>
          <w:lang w:val="ru"/>
        </w:rPr>
      </w:r>
    </w:p>
    <w:p>
      <w:pPr>
        <w:pBdr/>
        <w:spacing w:line="240" w:lineRule="auto"/>
        <w:ind w:firstLine="0"/>
        <w:jc w:val="both"/>
        <w:rPr>
          <w:u w:val="single"/>
          <w:lang w:val="ru"/>
        </w:rPr>
      </w:pPr>
      <w:r>
        <w:rPr>
          <w:u w:val="single"/>
          <w:lang w:val="ru"/>
        </w:rPr>
      </w:r>
      <w:r>
        <w:rPr>
          <w:u w:val="single"/>
          <w:lang w:val="ru"/>
        </w:rPr>
      </w:r>
      <w:r>
        <w:rPr>
          <w:u w:val="single"/>
          <w:lang w:val="ru"/>
        </w:rPr>
      </w:r>
    </w:p>
    <w:p>
      <w:pPr>
        <w:pBdr/>
        <w:spacing w:line="240" w:lineRule="auto"/>
        <w:ind w:firstLine="0"/>
        <w:jc w:val="both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jc w:val="both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spacing w:line="240" w:lineRule="auto"/>
        <w:ind w:firstLine="0"/>
        <w:jc w:val="both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tabs>
          <w:tab w:val="left" w:leader="none" w:pos="3240"/>
        </w:tabs>
        <w:spacing w:line="240" w:lineRule="auto"/>
        <w:ind w:firstLine="0"/>
        <w:jc w:val="left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tabs>
          <w:tab w:val="left" w:leader="none" w:pos="3240"/>
        </w:tabs>
        <w:spacing w:line="240" w:lineRule="auto"/>
        <w:ind w:firstLine="0"/>
        <w:jc w:val="left"/>
        <w:rPr>
          <w:lang w:val="ru"/>
        </w:rPr>
      </w:pPr>
      <w:r>
        <w:rPr>
          <w:lang w:val="ru"/>
        </w:rPr>
      </w:r>
      <w:r>
        <w:rPr>
          <w:lang w:val="ru"/>
        </w:rPr>
      </w:r>
      <w:r>
        <w:rPr>
          <w:lang w:val="ru"/>
        </w:rPr>
      </w:r>
    </w:p>
    <w:p>
      <w:pPr>
        <w:pBdr/>
        <w:tabs>
          <w:tab w:val="left" w:leader="none" w:pos="3240"/>
        </w:tabs>
        <w:spacing w:line="240" w:lineRule="auto"/>
        <w:ind w:firstLine="0"/>
        <w:rPr>
          <w:u w:val="single"/>
        </w:rPr>
      </w:pPr>
      <w:r>
        <w:rPr>
          <w:lang w:val="ru"/>
        </w:rPr>
        <w:t xml:space="preserve">Москва, 202</w:t>
      </w:r>
      <w:r>
        <w:t xml:space="preserve">5</w:t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t xml:space="preserve">Содержание</w:t>
      </w:r>
      <w:r>
        <w:rPr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971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/>
              <w:bCs/>
              <w:highlight w:val="none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highlight w:val="none"/>
                <w:lang w:val="ru-RU"/>
              </w:rPr>
              <w:t xml:space="preserve">Введение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highlight w:val="none"/>
                <w:lang w:val="en-U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highlight w:val="none"/>
            </w:rPr>
          </w:r>
        </w:p>
        <w:p>
          <w:pPr>
            <w:pStyle w:val="971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/>
            </w:rPr>
          </w:pPr>
          <w:hyperlink w:tooltip="#_Toc2" w:anchor="_Toc2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</w:rPr>
              <w:t xml:space="preserve">1. Аналитическая часть</w:t>
            </w:r>
            <w:r>
              <w:rPr>
                <w:rStyle w:val="1000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</w:rPr>
          </w:r>
        </w:p>
        <w:p>
          <w:pPr>
            <w:pStyle w:val="972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cs="Times New Roman"/>
              <w:b/>
              <w:bCs w:val="0"/>
              <w:i w:val="0"/>
              <w:iCs/>
              <w:highlight w:val="none"/>
            </w:rPr>
          </w:pPr>
          <w:hyperlink w:tooltip="#_Toc3" w:anchor="_Toc3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1.1. Постановка задачи.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 w:val="0"/>
                <w:i w:val="0"/>
                <w:i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 w:val="0"/>
              <w:i w:val="0"/>
              <w:iCs/>
              <w:highlight w:val="none"/>
            </w:rPr>
          </w:r>
        </w:p>
        <w:p>
          <w:pPr>
            <w:pStyle w:val="972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4" w:anchor="_Toc4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1.2. Описание используемых методов.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5" w:anchor="_Toc5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1.3. Разведочный анализ данных.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1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6" w:anchor="_Toc6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</w:rPr>
              <w:t xml:space="preserve">2.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</w:rPr>
              <w:t xml:space="preserve">Практическая часть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>
          <w:pPr>
            <w:pStyle w:val="972"/>
            <w:suppressLineNumbers w:val="false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7" w:anchor="_Toc7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2.1.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Предобработка данных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8" w:anchor="_Toc8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2.2.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Разработка и обучение модели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9" w:anchor="_Toc9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2.3.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Тестирование модели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10" w:anchor="_Toc10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2.4.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Написать нейронную сеть, которая будет рекомендовать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соотношение матриц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ы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.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11" w:anchor="_Toc11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2.5.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Разработка приложения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2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pPr>
          <w:hyperlink w:tooltip="#_Toc12" w:anchor="_Toc12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2.6.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 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 xml:space="preserve">Создание удаленного репозитория и загрузка результатов работы на него.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 w:val="0"/>
              <w:i w:val="0"/>
              <w:iCs/>
            </w:rPr>
          </w:r>
        </w:p>
        <w:p>
          <w:pPr>
            <w:pStyle w:val="9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3" w:anchor="_Toc13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Заключение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</w:rPr>
          </w:r>
        </w:p>
        <w:p>
          <w:pPr>
            <w:pStyle w:val="971"/>
            <w:pBdr/>
            <w:tabs>
              <w:tab w:val="right" w:leader="dot" w:pos="9354"/>
            </w:tabs>
            <w:spacing/>
            <w:ind/>
            <w:rPr>
              <w:rFonts w:ascii="Times New Roman" w:hAnsi="Times New Roman" w:eastAsia="Times New Roman" w:cs="Times New Roman"/>
              <w:b/>
              <w:bCs/>
            </w:rPr>
          </w:pPr>
          <w:hyperlink w:tooltip="#_Toc14" w:anchor="_Toc14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lang w:val="ru-RU"/>
              </w:rPr>
              <w:t xml:space="preserve">Библиографический список</w:t>
            </w:r>
            <w:r>
              <w:rPr>
                <w:rStyle w:val="1000"/>
                <w:rFonts w:ascii="Times New Roman" w:hAnsi="Times New Roman" w:eastAsia="Times New Roman" w:cs="Times New Roman"/>
                <w:b/>
                <w:bCs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val="ru-RU"/>
            </w:rPr>
          </w:r>
        </w:p>
        <w:p>
          <w:pPr>
            <w:suppressLineNumbers w:val="false"/>
            <w:pBdr/>
            <w:spacing w:after="0" w:before="0" w:line="360" w:lineRule="auto"/>
            <w:ind w:firstLine="709"/>
            <w:contextualSpacing w:val="false"/>
            <w:jc w:val="center"/>
            <w:rPr/>
          </w:pPr>
          <w:r/>
          <w:r>
            <w:rPr>
              <w:rFonts w:ascii="Times New Roman" w:hAnsi="Times New Roman" w:cs="Times New Roman"/>
              <w:b/>
              <w:bCs/>
              <w:highlight w:val="none"/>
            </w:rPr>
          </w:r>
          <w:r>
            <w:fldChar w:fldCharType="end"/>
          </w:r>
          <w:r/>
          <w:r/>
        </w:p>
      </w:sdtContent>
    </w:sdt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932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</w:rPr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Введение</w:t>
      </w:r>
      <w:r/>
      <w:bookmarkEnd w:id="1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Современное материаловедение активно развивается в направлении создания новых композитных материалов с заданными свойствами. Композиционные материалы представляют собой многокомпонентные системы, сочетающие в себе преимущества различных веществ — например,</w:t>
      </w:r>
      <w:r>
        <w:t xml:space="preserve"> прочность волокон и пластичность полимерной матрицы. Благодаря этому композиты находят широкое применение в авиации, строительстве, машиностроении и других высокотехнологичных отраслях.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Однако определение конечных свойств таких материалов по характеристикам исходных компонентов остаётся сложной задачей. Традиционный подход, основанный на физических испытаниях, требует значительных затрат времени, ресурсов и часто ограничен количеством воз</w:t>
      </w:r>
      <w:r>
        <w:t xml:space="preserve">можных комбинаций. В связи с этим всё более актуальными становятся методы цифрового материаловедения, использующие машинное обучение и анализ данных для построения прогнозных моделей.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Целью данной работы является разработка алгоритмов машинного обучения и нейронных сетей, способных предсказывать ключевые механические характеристики композиционных материалов — такие как модуль упругости и прочность при растяжении — по данным о составе и </w:t>
      </w:r>
      <w:r>
        <w:t xml:space="preserve">условиях их производства. Помимо этого, в рамках проекта создаётся рекомендационная система, определяющая оптимальное соотношение компонентов композита, а также программное приложение, реализующее разработанные модели. Работа опирается на реальные производ</w:t>
      </w:r>
      <w:r>
        <w:t xml:space="preserve">ственные данные, предоставленные Центром НТИ «Цифровое материаловедение» при МГТУ им. Н.Э. Баумана.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Использование предложенных решений позволит сократить количество натурных испытаний, ускорить этапы разработки новых материалов и создать цифровых двойников для моделирования их свойств в виртуальной среде.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932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1. Аналитическая часть</w:t>
      </w:r>
      <w:r/>
      <w:bookmarkEnd w:id="2"/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Style w:val="933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cs="Times New Roman"/>
          <w:b/>
          <w:bCs w:val="0"/>
          <w:i w:val="0"/>
          <w:iCs/>
          <w:color w:val="000000" w:themeColor="text1"/>
          <w:sz w:val="32"/>
          <w:szCs w:val="32"/>
          <w:highlight w:val="none"/>
        </w:rPr>
      </w:pPr>
      <w:r/>
      <w:bookmarkStart w:id="3" w:name="_Toc3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1.1. Постановка задачи.</w:t>
      </w:r>
      <w:r/>
      <w:bookmarkEnd w:id="3"/>
      <w:r/>
      <w:r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Современное производство композиционных материалов сталкивается с задачей прогнозирования механических свойств новых образцов без проведения длительных и дорогостоящих испытаний. Несмотря на то, что известны физико-химические параметры компонентов композит</w:t>
      </w:r>
      <w:r>
        <w:t xml:space="preserve">а (матрицы и наполнителя), взаимосвязь между их свойствами и итоговыми характеристиками материала сложна и нелинейна. В данной работе рассматривается задача построения модели машинного обучения, способной по свойствам компонентов и параметрам производства </w:t>
      </w:r>
      <w:r>
        <w:t xml:space="preserve">предсказывать два ключевых механических показателя композита:</w:t>
      </w:r>
      <w:r/>
    </w:p>
    <w:p>
      <w:pPr>
        <w:pStyle w:val="999"/>
        <w:numPr>
          <w:ilvl w:val="0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contextualSpacing w:val="false"/>
        <w:jc w:val="both"/>
        <w:rPr/>
      </w:pPr>
      <w:r>
        <w:t xml:space="preserve">Модуль упругости при растяжении (ГПа);</w:t>
      </w:r>
      <w:r/>
    </w:p>
    <w:p>
      <w:pPr>
        <w:pStyle w:val="999"/>
        <w:numPr>
          <w:ilvl w:val="0"/>
          <w:numId w:val="3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contextualSpacing w:val="false"/>
        <w:jc w:val="both"/>
        <w:rPr/>
      </w:pPr>
      <w:r>
        <w:t xml:space="preserve">прочность при растяжении (МПа).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Дополнительно решается задача рекомендации оптимального соотношения "матрица-наполнитель" на основе нейронной сети.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 качестве исходных данных используется таблица, содержащая 1023 записи, каждая из которых представляет собой уникальную комбинацию параметров и соответствующих выходных характеристик. Все признаки числовые. В датасете представлены следующие переменные: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Входные переменные (признаки):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Соотношение матрица-наполнитель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Плотность, кг/м³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Модуль упругости, ГПа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Количество отвердителя, м.%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Содержание эпоксидных групп, %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Температура вспышки, °C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Поверхностная плотность, г/м²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Потребление смолы, г/м²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Угол нашивки, градусы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Шаг нашивки</w:t>
      </w:r>
      <w:r/>
    </w:p>
    <w:p>
      <w:pPr>
        <w:pStyle w:val="999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Плотность нашивки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Выходные переменные (целевые):</w:t>
      </w:r>
      <w:r/>
    </w:p>
    <w:p>
      <w:pPr>
        <w:pStyle w:val="999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Модуль упругости при растяжении, ГПа</w:t>
      </w:r>
      <w:r/>
    </w:p>
    <w:p>
      <w:pPr>
        <w:pStyle w:val="999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Прочность при растяжении, МПа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Проверка на пропуски показала, что во всех колонках отсутствуют пропущенные значения. Типы данных корректны и представлены как float64 или int64. Это указывает на хорошее качество данных и возможность перехода к машинному обучению без этапа восстановления </w:t>
      </w:r>
      <w:r>
        <w:t xml:space="preserve">пропусков.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Описательная статистика показала, что диапазоны значений по признакам находятся в адекватных пределах. Однако в некоторых переменных, например в "Температура вспышки, °C" и "Поверхностная плотность", наблюдаются существенные различия между минимумами и мак</w:t>
      </w:r>
      <w:r>
        <w:t xml:space="preserve">симумами, что может указывать на наличие выбросов. Также следует отметить, что большинство признаков имеют широкое распределение, что важно учитывать при масштабировании данных.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Построенная корреляционная матрица показала, что линейная корреляция между входными признаками и целевыми переменными слабо выражена (коэффициенты корреляции находятся преимущественно в диапазоне от 0.01 до 0.07). Это свидетельствует о высокой сложности за</w:t>
      </w:r>
      <w:r>
        <w:t xml:space="preserve">висимости между параметрами и необходимости применения нелинейных методов моделирования, таких как ансамблевые модели или нейросети.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Таким образом, задача заключается в построении регрессионной модели, способной учитывать сложные взаимосвязи между характеристиками компонентов композиционного материала и его итоговыми механическими свойствами, с последующей интеграцией модели в прикладно</w:t>
      </w:r>
      <w:r>
        <w:t xml:space="preserve">е программное обеспечение.</w:t>
      </w:r>
      <w:r/>
    </w:p>
    <w:p>
      <w:pPr>
        <w:pBdr/>
        <w:spacing/>
        <w:ind w:firstLine="0" w:left="0"/>
        <w:jc w:val="both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  <w:highlight w:val="none"/>
        </w:rPr>
      </w:r>
    </w:p>
    <w:p>
      <w:pPr>
        <w:pStyle w:val="933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1.2. Описание используемых методов.</w:t>
      </w:r>
      <w:r/>
      <w:bookmarkEnd w:id="4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решения поставленной задачи прогнозирования механических характеристик композиционных материалов были применены два класса методов: ансамблевые модели машинного обучения и искусственные нейронные сети. Ниже приводится краткое описание каждого из них, 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ключая достоинства, недостатки и обоснование их применения.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Ансамблевые методы объединяют предсказания нескольких базовых моделей для получения более стабильного и точного результата. В данной работе использовалась модель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StackingRegressor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которая объединяет несколько алгоритмов (ElasticNet, Random Forest, KNN),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которые были отобраны после сравнения (таблица 1.1) передавая их выходы в финальную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модель (Linear Regression).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Достоинства: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Повышенная устойчивость к переобучению за счёт объединения слабых моделей.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Возможность учитывать различные типы взаимосвязей за счёт разнообразия базовых моделей.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Простота интерпретации при использовании линейного финального регрессора.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Высокая вычислительная сложность и время обучения.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Требует тщательной настройки и валидации.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Области применения: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Моделирование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 ограниченным объёмом данных и низкой корреляцией между признаками и целевой переменной.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9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Ситуации, где важно агрегировать слабые признаки в более устойчивое предсказание.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 w:color="000000"/>
        <w:spacing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87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firstLine="0"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Тип модели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Достоинства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Недостатки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Условия, при которых работает хорошо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ElasticNet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Линейная модель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Сбалансированная регуляризация, устойчив к мультиколлинеарности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Требует подбора параметров α и l1_ratio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Линейные зависимости с шумом, много коррелированных признаков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Random Forest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Ансамблевый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t xml:space="preserve">Не переобучается, устойчив к выбросам, работает с нечисловыми признаками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Большое потребление памяти, не интерпретируем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Сложные, нелинейные зависимости, небольшие датасеты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KNN Regressor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Алгоритм ближайших соседей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Прост в реализации, не требует обучения модели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Зависим от масштаба, чувствителен к выбросам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Когда данные компактны и имеют локальную структуру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Ridge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Линейная модель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Хорош при мультиколлинеарности, стабильен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Менее гибок, чем ElasticNet и Lasso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Простые линейные задачи, где важна устойчивость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Lasso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Линейная модель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Отбрасывает ненужные признаки, простота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Может нестабильно работать при сильной корреляции признаков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Малое количество признаков, где важно выбрать важные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Gradient Boosting Regressor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Ансамблевый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Высокая точность, гибкость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Медленный, требует настройки, может переобучаться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Когда нужен максимум качества, при большом количестве данных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Linear Regression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Линейная модель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Интерпретируемый, быстрый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/>
              <w:contextualSpacing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Работает только при наличии линейной зависимости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  <w:tc>
          <w:tcPr>
            <w:tcBorders/>
            <w:tcW w:w="1871" w:type="dxa"/>
            <w:vAlign w:val="center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60" w:lineRule="auto"/>
              <w:ind w:firstLine="0"/>
              <w:contextualSpacing w:val="false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t xml:space="preserve">Как базовая модель, начальный анализ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</w:r>
          </w:p>
        </w:tc>
      </w:tr>
    </w:tbl>
    <w:p>
      <w:pPr>
        <w:suppressLineNumbers w:val="false"/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 w:color="auto"/>
        <w:spacing/>
        <w:ind w:firstLine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Нейросеть использовалась для решения задачи регрессии — прогнозирования значения соотношения матрица-наполнитель на основе других физических характеристик. Архитектура сети состоит из трёх полносвязных слоёв с функцией активации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tanh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Достоинства: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Способность обучать сложные нелинейные зависимости даже при низкой линейной корреляции.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Высокая гибкость и адаптируемость под структуру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Необходимость нормализации данных и большого числа параметров настройки.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Сложность интерпретации модели.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Уязвимость к переобучению на малых выборках.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Области применения: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3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Сложные регрессионные задачи, где простые модели не дают удовлетворительного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9"/>
        <w:numPr>
          <w:ilvl w:val="0"/>
          <w:numId w:val="3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2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Прогнозирование в условиях слабой линейной зависимости между переменными.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0" w:left="2127"/>
        <w:jc w:val="both"/>
        <w:rPr/>
      </w:pPr>
      <w:r/>
      <w:r/>
    </w:p>
    <w:p>
      <w:pPr>
        <w:pStyle w:val="933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1.3. Разведочный анализ данных.</w:t>
      </w:r>
      <w:r/>
      <w:bookmarkEnd w:id="5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/>
        <w:spacing/>
        <w:ind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Разведочный анализ данных представляет собой начальный этап анализа, целью которого является выявление закономерностей, структуры данных, а также наличие выбросов, пропущенных значений и особенностей распределений признаков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В рамках данного проекта были применены следующие методы: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Анализ распределения признаков</w:t>
      </w:r>
      <w:r/>
      <w:r/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количественных признаков использовались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гистограммы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boxplot-графики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описательная статистика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(среднее, медиана, минимум, максимум, стандартное отклонение).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Были выявлены признаки с сильными выбросами, например, плотность и температура, которые искажали общее распределение.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Обработка выбросов</w:t>
      </w:r>
      <w:r/>
      <w:r/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Применялся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метод межквартильного размаха (IQR)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значения за пределами [Q1 – 1.5·IQR, Q3 + 1.5·IQR] были обрезаны или исключены из анализа.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позволило стабилизировать обучение моделей и снизить влияние экстремальных значений на качество предсказания.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Корреляционный анализ</w:t>
      </w:r>
      <w:r/>
      <w:r/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Построена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матрица корреляций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между признаками и целевыми переменными (механические характеристики).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Было выявлено, что некоторые признаки имеют низкую корреляцию с целевыми (|r| &lt; 0.04) и были исключены из дальнейшего анализа, поскольку не вносили полезную информацию в предсказание.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54825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280.6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Визуализация</w:t>
      </w:r>
      <w:r/>
      <w:r/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оценки взаимосвязей между признаками применялись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тепловые карты (heatmap)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диаграммы рассеяния (pairplot).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позволило оценить структуру данных и убедиться в отсутствии сильной мультиколлинеарности между оставшимися признаками.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5. Масштабирование данных</w:t>
      </w:r>
      <w:r/>
      <w:r/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моделей, чувствительных к масштабу признаков (например, KNN и нейронные сети), использовались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StandardScaler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MinMaxScaler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Это позволило привести признаки к единому диапазону и обеспечить устойчивость моделей.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jc w:val="both"/>
        <w:rPr/>
      </w:pPr>
      <w:r/>
      <w:r/>
    </w:p>
    <w:p>
      <w:pPr>
        <w:pStyle w:val="932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2.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Практическая часть</w:t>
      </w:r>
      <w:r/>
      <w:bookmarkEnd w:id="6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pStyle w:val="933"/>
        <w:suppressLineNumbers w:val="false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2.1.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Предобработка данных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.</w:t>
      </w:r>
      <w:r/>
      <w:bookmarkEnd w:id="7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На этапе предобработки данных была проведена нормализация числовых признаков с использованием метода Min-Max масштабирования. Это позволило привести значения всех признаков к единому масштабу в диапазоне от 0 до 1. Такая процедура необходима для корректной</w:t>
      </w:r>
      <w:r>
        <w:t xml:space="preserve"> работы большинства алгоритмов машинного обучения, особенно чувствительных к масштабу входных данных (например, алгоритмы градиентного спуска, методы на основе расстояний и нейронные сети).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Перед нормализацией для каждого признака были построены гистограммы распределения значений, что позволило выявить особенности распределения и потенциальные выбросы. Ниже представлены примеры таких графиков (см. рисунки hist_before_&lt;признак&gt;.png). 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2106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80.6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691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80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59134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80.6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336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280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6368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280.6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98065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280.6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5269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280.6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720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0pt;height:280.6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0377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0pt;height:280.6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9795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0pt;height:280.6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4613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0pt;height:280.6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407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0pt;height:280.62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0219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0pt;height:280.62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t xml:space="preserve">После при</w:t>
      </w:r>
      <w:r>
        <w:t xml:space="preserve">менения </w:t>
      </w:r>
      <w:r>
        <w:rPr>
          <w:lang w:val="en-US"/>
        </w:rPr>
        <w:t xml:space="preserve">StandardScaler</w:t>
      </w:r>
      <w:r>
        <w:rPr>
          <w:lang w:val="en-US"/>
        </w:rPr>
        <w:t xml:space="preserve"> </w:t>
      </w:r>
      <w:r>
        <w:t xml:space="preserve">(для нейронной сети использовал</w:t>
      </w:r>
      <w:r>
        <w:t xml:space="preserve">ся </w:t>
      </w:r>
      <w:r>
        <w:rPr>
          <w:lang w:val="en-US"/>
        </w:rPr>
        <w:t xml:space="preserve">MinMaxScaler</w:t>
      </w:r>
      <w:r>
        <w:t xml:space="preserve">) нормализации были построены аналогичные гистограммы для оценки изменения формы распределения</w:t>
      </w:r>
      <w:r>
        <w:rPr>
          <w:lang w:val="en-US"/>
        </w:rPr>
        <w:t xml:space="preserve"> (</w:t>
      </w:r>
      <w:r>
        <w:rPr>
          <w:lang w:val="ru-RU"/>
        </w:rPr>
        <w:t xml:space="preserve">результаты приведены для </w:t>
      </w:r>
      <w:r>
        <w:rPr>
          <w:lang w:val="en-US"/>
        </w:rPr>
        <w:t xml:space="preserve">StandardScaler</w:t>
      </w:r>
      <w:r>
        <w:rPr>
          <w:lang w:val="en-US"/>
        </w:rPr>
        <w:t xml:space="preserve">)</w:t>
      </w:r>
      <w:r>
        <w:t xml:space="preserve"> (см. hist_after_&lt;признак&gt;.png).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3517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0pt;height:280.6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2645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0pt;height:280.62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5643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0pt;height:280.6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0491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0pt;height:280.6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990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0pt;height:280.6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25802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0pt;height:280.6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9130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0pt;height:280.6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575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0pt;height:280.6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3518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0pt;height:280.62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5874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0pt;height:280.62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76232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0pt;height:280.62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4024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0pt;height:280.62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56387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715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39789" cy="356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0pt;height:280.6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t xml:space="preserve">Также была сформирована таблица, содержащая минимальные и максимальные значения признаков до и после нормализации. Эта таблица представлена ниже:</w:t>
      </w:r>
      <w:r>
        <w:rPr>
          <w:highlight w:val="none"/>
        </w:rPr>
      </w:r>
    </w:p>
    <w:tbl>
      <w:tblPr>
        <w:tblStyle w:val="987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Минимум (до)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Максимум (до)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Минимум (после)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Максимум (после)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Соотношение матрица-наполнитель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0.389403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5.591742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-2.783776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2.915695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Плотность, кг/м3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1731.764635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2207.773481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-3.310622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3.148712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модуль упругости, ГПа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2.436909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1911.536477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-2.234332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3.549589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Количество отвердителя, м.%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17.740275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198.953207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-3.282308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3.125033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Содержание эпоксидных групп,%_2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14.254985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33.000000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-3.321825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4.471955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Температура вспышки, С_2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100.000000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413.273418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-4.542215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3.112932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Поверхностная плотность, г/м2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0.603740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1399.542362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-1.714677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3.260615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Модуль упругости при растяжении, ГПа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 64.054061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82.682051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-2.975023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3.000355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Прочность при растяжении, МПа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1036.856605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3848.436732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-2.946217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2.846190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Потребление смолы, г/м2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33.803026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414.590628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-3.092116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3.285517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Угол нашивки, град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0.000000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90.000000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-0.983518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1.016758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Шаг нашивки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0.000000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14.440522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-2.692680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2.943275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Плотность нашивки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0.000000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103.988901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-4.629749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vMerge w:val="restart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3.793863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t xml:space="preserve">Дополнительно, на этапе предобработки были удалены выбросы с использованием метода межквартильного размаха (IQR). Это позволило исключить аномальные значения, которые могли бы исказить обучение моделей.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t xml:space="preserve">Таким образом, предобработка обеспечила корректное масштабирование признаков и очистку данных от выбросов, что является важным этапом перед построением моделей машинного обучения.</w:t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33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2.2.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Разработка и обучение модели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bookmarkEnd w:id="8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решения задачи прогнозирования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модуля упругости при растяжении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прочности при растяжении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были выбраны и обучены несколько моделей регрессии. Каждая из них была протестирована как отдельно, так и в составе ансамбля. В качестве целевых переменных выступали два параметра: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 упругости при растяжении, ГПа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Прочность при растяжении, МПа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работы были протестированы следующие модели: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ElasticNet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линейная модель с L1 и L2-регуляризацией.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Random Forest Regressor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ансамблевый метод на основе решающих деревьев.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K-Nearest Neighbors Regressor (KNN)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метод на основе ближайших соседей.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Linear Regression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базовая линейная модель, использовавшаяся как мета-регрессор в стекинге.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99"/>
        <w:numPr>
          <w:ilvl w:val="0"/>
          <w:numId w:val="4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Stacking Regressor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ансамблевая модель, объединяющая предсказания нескольких регрессоров с последующим обучением финального регрессора.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</w:t>
      </w:r>
      <w:r>
        <w:t xml:space="preserve">одробное сравнение качества работы всех моделей приведено в </w:t>
      </w:r>
      <w:hyperlink r:id="rId42" w:tooltip="file:///snap/onlyoffice-desktopeditors/477/opt/onlyoffice/desktopeditors/editors/web-apps/apps/documenteditor/main/index.html?_dc=0&amp;lang=ru-RU&amp;type=desktop&amp;frameEditorId=placeholder&amp;isForm=false&amp;parentOrigin=file://&amp;fileType=docx#%D1%82%D0%B0%D0%B1%D0%BB%D0%B8%D1%86%D0%B0-%D1%80%D0%B5%D0%B3%D1%80%D0%B5%D1%81%D1%81%D0%B8%D0%BE%D0%BD%D0%BD%D1%8B%D1%85-%D0%BC%D0%BE%D0%B4%D0%B5%D0%BB%D0%B5%D0%B9" w:history="1">
        <w:r>
          <w:t xml:space="preserve">таблице сравнения регрессионных методов</w:t>
        </w:r>
      </w:hyperlink>
      <w:r>
        <w:t xml:space="preserve"> </w:t>
      </w:r>
      <w:r>
        <w:t xml:space="preserve">в разделе </w:t>
      </w:r>
      <w:r>
        <w:t xml:space="preserve">1.2</w:t>
      </w:r>
      <w:r>
        <w:t xml:space="preserve">. По результатам анализа наилучшие показатели по метрике </w:t>
      </w:r>
      <w:r>
        <w:t xml:space="preserve">R²</w:t>
      </w:r>
      <w:r>
        <w:t xml:space="preserve"> и </w:t>
      </w:r>
      <w:r>
        <w:t xml:space="preserve">RMSE</w:t>
      </w:r>
      <w:r>
        <w:t xml:space="preserve"> были достигнуты с использованием ансамблевой стекинг-модели, в которую входили Random Forest, KNN и ElasticNet.</w:t>
      </w:r>
      <w:r>
        <w:rPr>
          <w14:ligatures w14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Все модели обучались на обучающей выборке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0% от общего объема данных), с последующим тестированием на отложенной выборке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0%). Использовалась кросс-валидация и масштабирование признаков с помощью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StandardScaler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86790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7825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39789" cy="5867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0pt;height:462.04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33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2.3.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Тестирование модели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.</w:t>
      </w:r>
      <w:r/>
      <w:bookmarkEnd w:id="9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Для оценки качества обученной модели был проведён анализ ошибок на тренировочной и тестовой выборке. Основными метриками, использованными для оценки точности прогноза, стали:</w:t>
      </w:r>
      <w:r/>
    </w:p>
    <w:p>
      <w:pPr>
        <w:pStyle w:val="99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Mean Squared Error (MSE) — среднеквадратичная ошибка;</w:t>
      </w:r>
      <w:r/>
    </w:p>
    <w:p>
      <w:pPr>
        <w:pStyle w:val="99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R² (коэффициент детерминации) — отражает долю объяснённой дисперсии;</w:t>
      </w:r>
      <w:r/>
    </w:p>
    <w:p>
      <w:pPr>
        <w:pStyle w:val="999"/>
        <w:numPr>
          <w:ilvl w:val="0"/>
          <w:numId w:val="4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MAPE — средняя абсолютная процентная ошибка (дополнительно для лучшей интерпретируемости).</w:t>
      </w:r>
      <w:r/>
    </w:p>
    <w:tbl>
      <w:tblPr>
        <w:tblStyle w:val="987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lang w:val="ru-RU"/>
              </w:rPr>
              <w:t xml:space="preserve">Показатель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Модуль упругости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Прочность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MSE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9.13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229322.27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MAE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2.44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371.10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MAPE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3.32%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16.95%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R²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0.061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0.045</w:t>
            </w:r>
            <w:r/>
          </w:p>
        </w:tc>
      </w:tr>
    </w:tbl>
    <w:p>
      <w:pPr>
        <w:pBdr/>
        <w:spacing/>
        <w:ind w:firstLine="0" w:left="2127"/>
        <w:jc w:val="both"/>
        <w:rPr/>
      </w:pPr>
      <w:r/>
      <w:r/>
    </w:p>
    <w:p>
      <w:pPr>
        <w:suppressLineNumbers w:val="false"/>
        <w:pBdr/>
        <w:spacing/>
        <w:ind w:firstLine="709" w:left="0"/>
        <w:contextualSpacing w:val="false"/>
        <w:jc w:val="both"/>
        <w:rPr>
          <w:bCs/>
          <w:i/>
          <w:highlight w:val="none"/>
        </w:rPr>
      </w:pPr>
      <w:r>
        <w:rPr>
          <w:i/>
          <w:iCs/>
          <w:highlight w:val="none"/>
        </w:rPr>
      </w:r>
      <w:r>
        <w:t xml:space="preserve">Полученные значения R² показывают, что модель слабо объясняет дисперсию в целевых переменных. Это может быть связано с высокой сложностью данных, наличием скрытых факторов или ограниченным размером выборки. Тем не менее, лучшую производительность продемонс</w:t>
      </w:r>
      <w:r>
        <w:t xml:space="preserve">трировал ансамбль на базе стекинга, что подтверждает выбор данной модели в качестве финальной.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 w:left="2127"/>
        <w:jc w:val="both"/>
        <w:rPr>
          <w:bCs/>
          <w:i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</w:r>
      <w:r>
        <w:rPr>
          <w:bCs/>
          <w:i/>
        </w:rPr>
      </w:r>
    </w:p>
    <w:p>
      <w:pPr>
        <w:pStyle w:val="933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2.4.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Написать нейронную сеть, которая будет рекомендовать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соотношение матриц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. </w:t>
      </w:r>
      <w:r/>
      <w:bookmarkEnd w:id="10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Для задачи прогнозирования соотношения матрица-наполнитель была разработана и обучена нейронная сеть. Цель — предоставить инструмент, способный рекомендовать оптимальное значение данного параметра на основе других технологических и физико-химических характ</w:t>
      </w:r>
      <w:r>
        <w:t xml:space="preserve">еристик материала.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Выбор архитектуры: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Модель представляет собой полносвязную нейросеть (Sequential) с несколькими скрытыми слоями. В качестве функции активации для скрытых слоёв использовалась tanh, что хорошо подходит для нормализованных данных. Выходной слой — линейный (один нейрон), так как</w:t>
      </w:r>
      <w:r>
        <w:t xml:space="preserve"> решается задача регрессии.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Структура сети: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Входной слой: количество признаков после отбора;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Скрытые слои: 128 → 64 → 32 нейрона с активацией tanh;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Выходной слой: 1 нейрон (предсказание значения соотношения);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Оптимизатор: RMSprop;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Функция потерь: среднеквадратичная ошибка (MSE);</w:t>
      </w:r>
      <w:r/>
    </w:p>
    <w:p>
      <w:pPr>
        <w:pStyle w:val="999"/>
        <w:numPr>
          <w:ilvl w:val="0"/>
          <w:numId w:val="4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Регуляризация переобучения: EarlyStopping по валидационным данным с параметром patience = 50.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Предобработка данных:</w:t>
      </w:r>
      <w:r/>
    </w:p>
    <w:p>
      <w:pPr>
        <w:pStyle w:val="999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Удаление выбросов с использованием межквартильного размаха (IQR);</w:t>
      </w:r>
      <w:r/>
    </w:p>
    <w:p>
      <w:pPr>
        <w:pStyle w:val="999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Масштабирование признаков с помощью MinMaxScaler (в интервал [0, 1]);</w:t>
      </w:r>
      <w:r/>
    </w:p>
    <w:p>
      <w:pPr>
        <w:pStyle w:val="999"/>
        <w:numPr>
          <w:ilvl w:val="0"/>
          <w:numId w:val="4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Исключение целевого признака и некоторых коррелированных признаков (Плотность, Плотность нашивки) из набора входных данных.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contextualSpacing w:val="false"/>
        <w:jc w:val="both"/>
        <w:rPr>
          <w:highlight w:val="none"/>
          <w:lang w:val="en-US"/>
        </w:rPr>
      </w:pPr>
      <w:r>
        <w:rPr>
          <w:highlight w:val="none"/>
        </w:rPr>
        <w:tab/>
      </w:r>
      <w:r>
        <w:rPr>
          <w:highlight w:val="none"/>
          <w:lang w:val="ru-RU"/>
        </w:rPr>
        <w:t xml:space="preserve">Результаты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представлены в таблице</w:t>
      </w:r>
      <w:r>
        <w:rPr>
          <w:highlight w:val="none"/>
        </w:rPr>
      </w:r>
      <w:r>
        <w:rPr>
          <w:highlight w:val="none"/>
          <w:lang w:val="en-US"/>
        </w:rPr>
      </w:r>
    </w:p>
    <w:tbl>
      <w:tblPr>
        <w:tblStyle w:val="98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ru-RU"/>
              </w:rPr>
              <w:t xml:space="preserve">Метрика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ru-RU"/>
              </w:rPr>
              <w:t xml:space="preserve">Значение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MSE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0.887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MAE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0.779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MAPE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31.97%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R²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t xml:space="preserve">0.009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R² оказался очень низким, что указывает на слабую способность модели объяснять вариацию целевого признака. Это может быть связано с высокой шумностью данных, наличием латентных переменных, влияющих на результат, или сложной зависимостью, не поддающейся апп</w:t>
      </w:r>
      <w:r>
        <w:t xml:space="preserve">роксимации текущей архитектурой.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Тем не менее, модель продемонстрировала разумную интерполяцию для новых данных: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contextualSpacing w:val="false"/>
        <w:jc w:val="both"/>
        <w:rPr>
          <w:highlight w:val="none"/>
          <w:lang w:val="ru-RU"/>
        </w:rPr>
      </w:pPr>
      <w:r>
        <w:rPr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  <w:lang w:val="ru-RU"/>
        </w:rPr>
      </w:r>
    </w:p>
    <w:tbl>
      <w:tblPr>
        <w:tblStyle w:val="98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Истинное значение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Предсказание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1.857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2.540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4.194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3.146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3.306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3.152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2.710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contextualSpacing w:val="false"/>
              <w:jc w:val="both"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</w:r>
            <w:r>
              <w:t xml:space="preserve">2.969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highlight w:val="none"/>
        </w:rPr>
      </w:pPr>
      <w:r>
        <w:rPr>
          <w:highlight w:val="none"/>
          <w:lang w:val="ru-RU"/>
        </w:rPr>
      </w:r>
      <w:r>
        <w:t xml:space="preserve">Несмотря на низкое значение R², нейросеть обучена и может использоваться в качестве вспомогательного инструмента для предварительной оценки или ранжирования возможных значений соотношения матрицы, особенно в случае отсутствия лабораторных данных. Однако дл</w:t>
      </w:r>
      <w:r>
        <w:t xml:space="preserve">я производственного применения требуется доработка модели, возможно с использованием дополнительных признаков или другой архитектуры.</w:t>
      </w:r>
      <w:r>
        <w:rPr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33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2.5.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Разработка приложения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.</w:t>
      </w:r>
      <w:r/>
      <w:bookmarkEnd w:id="11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jc w:val="both"/>
        <w:rPr/>
      </w:pPr>
      <w:r/>
      <w:r/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Для практического использования обученных моделей было разработано простое веб-приложение на основе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Flask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— лёгкого фреймворка для Python. Приложение реализует два ключевых функционала: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Прогнозирование прочностных характеристик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(модуль упругости и прочность при растяжении) на основе входных параметров с использованием модели стекинга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stacking_pipeline.pkl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Рекомендация соотношения матрица-наполнитель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на основе физических и технологических параметров материала с помощью нейросети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neiro_model.h5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Основной функционал:</w:t>
      </w:r>
      <w:r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Форма ввода параметров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на веб-странице;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Отправка данных на сервер и предобработка (масштабирование, преобразование);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Отображение результатов предсказания пользователю;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Обработка ошибок при вводе данных;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Возможность выбора типа прогноза: нейросеть или ML-модель.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Архитектура и реализация:</w:t>
      </w:r>
      <w:r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Приложение реализовано на Flask с двумя маршрутами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/neiro_predict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/ml_predict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), каждый из которых обрабатывает запросы и возвращает результат предсказания через HTML-шаблон;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Загружаются обученные модели и применяются к новым данным;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Предусмотрено масштабирование признаков с использованием сохранённого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MinMaxScaler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Инструкция по использованию:</w:t>
      </w:r>
      <w:r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Запустить приложение с помощью команды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python app.py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или через Docker.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Перейти в браузере по адресу: </w:t>
      </w:r>
      <w:hyperlink r:id="rId44" w:tooltip="http://localhost:5000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ee"/>
            <w:sz w:val="28"/>
            <w:szCs w:val="28"/>
            <w:highlight w:val="yellow"/>
            <w:u w:val="single"/>
          </w:rPr>
          <w:t xml:space="preserve">http://localhost:5000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Выбрать нужную форму: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ML-прогноз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— ввод данных для получения модуля упругости и прочности;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Нейросеть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— ввод данных для рекомендации соотношения матрица-наполнитель;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Ввести значения параметров;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Нажать кнопку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"Предсказать"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 и получить результат.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Рекомендации по развёртыванию:</w:t>
      </w:r>
      <w:r/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suppressLineNumbers w:val="false"/>
        <w:pBdr/>
        <w:spacing/>
        <w:ind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Для удобства и переносимости приложение может быть развёрнуто с помощью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Docker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yellow"/>
        </w:rPr>
        <w:t xml:space="preserve">. Это позволяет гарантировать воспроизводимость среды и ускоряет деплой.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yellow"/>
        </w:rPr>
      </w:r>
    </w:p>
    <w:p>
      <w:pPr>
        <w:pBdr/>
        <w:spacing/>
        <w:ind w:firstLine="0" w:left="2127"/>
        <w:jc w:val="both"/>
        <w:rPr/>
      </w:pPr>
      <w:r/>
      <w:r/>
    </w:p>
    <w:p>
      <w:pPr>
        <w:pStyle w:val="933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 w:val="0"/>
          <w:i w:val="0"/>
          <w:iCs/>
          <w:color w:val="000000" w:themeColor="text1"/>
          <w:sz w:val="32"/>
          <w:szCs w:val="32"/>
          <w14:ligatures w14:val="none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2.6.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  <w:t xml:space="preserve">Создание удаленного репозитория и загрузка результатов работы на него.</w:t>
      </w:r>
      <w:r/>
      <w:bookmarkEnd w:id="12"/>
      <w:r/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32"/>
          <w:szCs w:val="32"/>
        </w:rPr>
      </w:r>
    </w:p>
    <w:p>
      <w:pPr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 w:left="0"/>
        <w:contextualSpacing w:val="false"/>
        <w:jc w:val="both"/>
        <w:rPr>
          <w:bCs w:val="0"/>
          <w:i w:val="0"/>
          <w:sz w:val="28"/>
          <w:szCs w:val="32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32"/>
        </w:rPr>
        <w:t xml:space="preserve">Для хранения исходного кода проекта, обученных моделей и документации был создан удалённый репозиторий на GitHub. Это позволяет обеспечить надёжное хранение, версионность и возможность совместной работы или демонстрации результатов.</w:t>
      </w:r>
      <w:r>
        <w:rPr>
          <w:i w:val="0"/>
          <w:iCs w:val="0"/>
          <w:sz w:val="32"/>
          <w:szCs w:val="32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i w:val="0"/>
          <w:sz w:val="28"/>
          <w:szCs w:val="32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32"/>
        </w:rPr>
        <w:t xml:space="preserve">Страница слушателя:</w:t>
      </w:r>
      <w:r/>
      <w:r/>
      <w:r>
        <w:rPr>
          <w:b w:val="0"/>
          <w:bCs w:val="0"/>
          <w:i w:val="0"/>
          <w:iCs w:val="0"/>
          <w:sz w:val="32"/>
          <w:szCs w:val="32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i w:val="0"/>
          <w:sz w:val="28"/>
          <w:szCs w:val="32"/>
        </w:rPr>
      </w:pPr>
      <w:r>
        <w:rPr>
          <w:b w:val="0"/>
          <w:bCs w:val="0"/>
          <w:i w:val="0"/>
          <w:iCs w:val="0"/>
          <w:sz w:val="32"/>
          <w:szCs w:val="32"/>
        </w:rPr>
      </w:r>
      <w:hyperlink r:id="rId45" w:tooltip="https://github.com/username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ee"/>
            <w:sz w:val="28"/>
            <w:szCs w:val="32"/>
            <w:u w:val="single"/>
          </w:rPr>
          <w:t xml:space="preserve">https://github.com/username</w:t>
        </w:r>
      </w:hyperlink>
      <w:r>
        <w:rPr>
          <w:b w:val="0"/>
          <w:bCs w:val="0"/>
          <w:i w:val="0"/>
          <w:iCs w:val="0"/>
          <w:sz w:val="32"/>
          <w:szCs w:val="32"/>
        </w:rPr>
        <w:br/>
      </w:r>
      <w:r>
        <w:rPr>
          <w:b w:val="0"/>
          <w:bCs w:val="0"/>
          <w:i w:val="0"/>
          <w:iCs w:val="0"/>
          <w:sz w:val="32"/>
          <w:szCs w:val="32"/>
        </w:rPr>
      </w:r>
    </w:p>
    <w:p>
      <w:pPr>
        <w:suppressLineNumbers w:val="false"/>
        <w:pBdr/>
        <w:spacing/>
        <w:ind/>
        <w:jc w:val="both"/>
        <w:rPr>
          <w:b w:val="0"/>
          <w:bCs w:val="0"/>
          <w:i w:val="0"/>
          <w:sz w:val="28"/>
          <w:szCs w:val="32"/>
        </w:rPr>
      </w:pP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32"/>
        </w:rPr>
        <w:t xml:space="preserve">Репозиторий проекта:</w:t>
      </w:r>
      <w:r/>
      <w:r/>
      <w:r>
        <w:rPr>
          <w:b w:val="0"/>
          <w:bCs w:val="0"/>
          <w:i w:val="0"/>
          <w:iCs w:val="0"/>
          <w:sz w:val="32"/>
          <w:szCs w:val="32"/>
        </w:rPr>
      </w:r>
    </w:p>
    <w:p>
      <w:pPr>
        <w:suppressLineNumbers w:val="false"/>
        <w:pBdr/>
        <w:spacing/>
        <w:ind/>
        <w:jc w:val="both"/>
        <w:rPr>
          <w:bCs w:val="0"/>
          <w:i w:val="0"/>
          <w:sz w:val="28"/>
          <w:szCs w:val="32"/>
        </w:rPr>
      </w:pPr>
      <w:r>
        <w:rPr>
          <w:i w:val="0"/>
          <w:iCs w:val="0"/>
          <w:sz w:val="32"/>
          <w:szCs w:val="32"/>
        </w:rPr>
      </w:r>
      <w:hyperlink r:id="rId46" w:tooltip="https://github.com/username/materials-predictor" w:history="1">
        <w:r>
          <w:rPr>
            <w:rStyle w:val="1000"/>
            <w:rFonts w:ascii="Times New Roman" w:hAnsi="Times New Roman" w:eastAsia="Times New Roman" w:cs="Times New Roman"/>
            <w:i w:val="0"/>
            <w:iCs w:val="0"/>
            <w:color w:val="0000ee"/>
            <w:sz w:val="28"/>
            <w:szCs w:val="32"/>
            <w:u w:val="single"/>
          </w:rPr>
          <w:t xml:space="preserve">https://github.com/username/materials-predictor</w:t>
        </w:r>
      </w:hyperlink>
      <w:r>
        <w:rPr>
          <w:i w:val="0"/>
          <w:iCs w:val="0"/>
          <w:sz w:val="32"/>
          <w:szCs w:val="32"/>
        </w:rPr>
      </w:r>
      <w:r>
        <w:rPr>
          <w:i w:val="0"/>
          <w:iCs w:val="0"/>
          <w:sz w:val="32"/>
          <w:szCs w:val="32"/>
        </w:rPr>
      </w:r>
    </w:p>
    <w:p>
      <w:pPr>
        <w:pBdr/>
        <w:spacing/>
        <w:ind w:firstLine="0" w:left="2127"/>
        <w:jc w:val="both"/>
        <w:rPr/>
      </w:pPr>
      <w:r/>
      <w:r/>
    </w:p>
    <w:p>
      <w:pPr>
        <w:pBdr/>
        <w:shd w:val="nil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>
      <w:pPr>
        <w:pStyle w:val="932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ligatures w14:val="none"/>
        </w:rPr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Заключение</w:t>
      </w:r>
      <w:r/>
      <w:bookmarkEnd w:id="13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 рамках выпускной квалификационной работы была разработана интеллектуальная система прогнозирования и рекомендаций, направленная на повышение точности оценки механических свойств композиционных материалов. Основной целью исследования стало построение моде</w:t>
      </w:r>
      <w:r>
        <w:t xml:space="preserve">лей, способных предсказывать такие характеристики, как модуль упругости и прочность при растяжении, а также рекомендовать оптимальное соотношение матрица-наполнитель.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В процессе работы были решены следующие задачи: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Проведена предварительная обработка и анализ данных, включая удаление выбросов и отбор признаков;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Построена ансамблевая модель стекинга, включающая несколько регрессионных алгоритмов, для предсказания механических свойств;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Разработана нейронная сеть для индивидуального прогнозирования рекомендуемого соотношения компонентов;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Разработано веб-приложение на Flask, интегрирующее обе модели и предоставляющее простой интерфейс для пользователя;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Организовано развёртывание приложения с помощью Docker, что обеспечивает переносимость и удобство использования;</w:t>
      </w:r>
      <w:r/>
    </w:p>
    <w:p>
      <w:pPr>
        <w:pStyle w:val="999"/>
        <w:numPr>
          <w:ilvl w:val="0"/>
          <w:numId w:val="5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/>
        <w:contextualSpacing w:val="false"/>
        <w:jc w:val="both"/>
        <w:rPr/>
      </w:pPr>
      <w:r>
        <w:t xml:space="preserve">Создан удалённый репозиторий для хранения исходного кода, моделей и документации.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Несмотря на то, что достигнутый уровень точности (в частности, по метрике R²) остаётся ограниченным, предложенный подход демонстрирует перспективность применения методов машинного обучения в задачах материаловедения. Полученные результаты подтверждают возм</w:t>
      </w:r>
      <w:r>
        <w:t xml:space="preserve">ожность автоматизации аналитических задач в инженерной практике и служат отправной точкой для дальнейших улучшений, таких как расширение обучающей выборки, использование более сложных моделей или привлечение дополнительных признаков.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contextualSpacing w:val="false"/>
        <w:jc w:val="both"/>
        <w:rPr/>
      </w:pPr>
      <w:r>
        <w:t xml:space="preserve">Таким образом, поставленные цели были достигнуты, а практическая реализация системы делает возможным её дальнейшее применение и развитие в рамках промышленных или научно-исследовательских задач.</w:t>
      </w:r>
      <w:r/>
    </w:p>
    <w:p>
      <w:pPr>
        <w:pBdr/>
        <w:shd w:val="nil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>
      <w:pPr>
        <w:pStyle w:val="932"/>
        <w:pBdr/>
        <w:spacing w:after="0" w:before="0" w:line="360" w:lineRule="auto"/>
        <w:ind w:firstLine="0"/>
        <w:contextualSpacing w:val="false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ru-RU"/>
          <w14:ligatures w14:val="none"/>
        </w:rPr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ru-RU"/>
        </w:rPr>
        <w:t xml:space="preserve">Библиографический список</w:t>
      </w:r>
      <w:r/>
      <w:bookmarkEnd w:id="14"/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Российская Федерация. Законы. Федеральный закон от 27 июля 2006 г. № 149-ФЗ «Об информации, информационных технологиях и о защите информации» // Собрание законодательства РФ. – 2006. – № 31 (ч. 1). – Ст. 3448.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Российская Федерация. Указы Президента. Указ Президента РФ от 10 октября 2019 г. № 490 «О развитии искусственного интеллекта в Российской Федерации» // Собрание законодательства РФ. – 2019. – № 42. – Ст. 5997.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Российская Федерация. Постановления Правительства. Постановление Правительства РФ от 3 марта 2017 г. № 223 «О государственной программе Российской Федерации "Цифровая экономика Российской Федерации"» // Собрание законодательства РФ. – 2017. – № 10.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– Ст. 1496.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Герон, А. Практическое машинное обучение с помощью Scikit-Learn, Keras и TensorFlow  / А. Герон. – М. : ДМК Пресс, 2020. – 800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c.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Гудфеллоу, И., Бенджио, Й., Курвилль, А. Глубокое обучение  / И. Гудфеллоу, Й. Бенджио, А. Курвилль. – М. : ДМК Пресс, 2018. – 800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Маккинни, У. Python для анализа данных  / У. Маккинни. – М. : ДМК Пресс, 2018. – 544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ВандерПлас, Дж. Python Data Science Handbook  / Дж. ВандерПлас. – М. : ДМК Пресс, 2017. – 548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Брюс, П., Брюс, А. Практическая статистика для специалистов по данным  / П. Брюс, А. Брюс. – М. : ДМК Пресс, 2018. – 320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Грус, Дж. Data Science с нуля  / Дж. Грус. – М. : ДМК Пресс, 2017. – 330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Шалев-Шварц, Ш., Бен-Давид, Ш. Понимание машинного обучения  / Ш. Шалев-Шварц, Ш. Бен-Давид. – М. : ДМК Пресс, 2016. – 410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Спигельхалтер, Д. Искусство статистики: Как извлекать смысл из данных  / Д. Спигельхалтер. – М. : Альпина Паблишер, 2020. – 352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Провост, Ф., Фосетт, Т. Data Science для бизнеса  / Ф. Провост, Т. Фосетт. – М. : ДМК Пресс, 2016. – 432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Чолле, Ф. Глубокое обучение с использованием Python  / Ф. Чолле. – М. : ДМК Пресс, 2018. – 384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Герон, А. Машинное обучение на практике  / А. Герон. – М. : ДМК Пресс, 2019. – 800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Вилке, К. Основы визуализации данных  / К. Вилке. – М. : ДМК Пресс, 2020. – 320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Бурков, А. Машинное обучение за 100 страниц  / А. Бурков. – М. : ДМК Пресс, 2019. – 160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Робинсон, Э., Нолис, Ж. Построение карьеры в Data Science  / Э. Робинсон, Ж. Нолис. – М. : ДМК Пресс, 2020. – 350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Пэнг, Р., Мацуи, Э. Искусство Data Science  / Р. Пэнг, Э. Мацуи. – М. : ДМК Пресс, 2017. – 150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Хернан, М. А., Хсу, Дж., Хили, Б. Data Science как вторая попытка науки в причинном выводе  / М. А. Хернан, Дж. Хсу, Б. Хили // arXiv preprint arXiv:1804.10846. – 2018. – 20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.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Карпатне, А. и др. Теория-ориентированная Data Science: новый подход к научным открытиям из данных  / А. Карпатне и др. // arXiv preprint arXiv:1612.08544. – 2016. – 15 с.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Цао, Л. Data Science: всесторонний обзор  / Л. Цао // arXiv preprint arXiv:2007.03606. – 2020. – 30 с.</w:t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Цао, Л. Data Science: вызовы и направления  / Л. Цао // arXiv preprint arXiv:2006.16966. – 2020. – 25 с.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Википедия. Data Science [Электронный ресурс]. – Режим доступа: </w:t>
      </w:r>
      <w:hyperlink r:id="rId47" w:tooltip="https://ru.wikipedia.org/wiki/Data_science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ee"/>
            <w:sz w:val="28"/>
            <w:szCs w:val="28"/>
            <w:highlight w:val="none"/>
            <w:u w:val="single"/>
          </w:rPr>
          <w:t xml:space="preserve">https://ru.wikipedia.org/wiki/Data_science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01.05.2025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).</w:t>
      </w:r>
      <w:r>
        <w:rPr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uto"/>
        <w:ind w:right="0" w:firstLine="709"/>
        <w:contextualSpacing w:val="false"/>
        <w:jc w:val="both"/>
        <w:rPr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Scikit-learn: машинное обучение в Python [Электронный ресурс]. – Режим доступа: </w:t>
      </w:r>
      <w:hyperlink r:id="rId48" w:tooltip="https://scikit-learn.org/stable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i w:val="0"/>
            <w:iCs w:val="0"/>
            <w:color w:val="0000ee"/>
            <w:sz w:val="28"/>
            <w:szCs w:val="28"/>
            <w:highlight w:val="none"/>
            <w:u w:val="single"/>
          </w:rPr>
          <w:t xml:space="preserve">https://scikit-learn.org/stable/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01.05.2025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highlight w:val="none"/>
        </w:rPr>
        <w:t xml:space="preserve">).</w:t>
      </w:r>
      <w:r>
        <w:rPr>
          <w:b w:val="0"/>
          <w:bCs w:val="0"/>
          <w:i w:val="0"/>
          <w:iCs w:val="0"/>
          <w:sz w:val="28"/>
          <w:szCs w:val="28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Kaggle. Платформа для соревнований и обучения по Data Science [Электронный ресурс]. – Режим доступа: </w:t>
      </w:r>
      <w:hyperlink r:id="rId49" w:tooltip="https://www.kaggle.com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https://www.kaggle.com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02.05.2025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TensorFlow. Библиотека машинного обучения с открытым исходным кодом [Электронный ресурс]. – Режим доступа: </w:t>
      </w:r>
      <w:hyperlink r:id="rId50" w:tooltip="https://www.tensorflow.org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https://www.tensorflow.org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02.05.2025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PyTorch. Глубокое обучение для всех [Электронный ресурс]. – Режим доступа: </w:t>
      </w:r>
      <w:hyperlink r:id="rId51" w:tooltip="https://pytorch.org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https://pytorch.org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Towards Data Science – Публикации по Data Science, ML и AI [Электронный ресурс]. – Режим доступа: </w:t>
      </w:r>
      <w:hyperlink r:id="rId52" w:tooltip="https://towardsdatascience.com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https://towardsdatascience.com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02.05.2025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GitHub – Репозитории и проекты по Data Science [Электронный ресурс]. – Режим доступа: </w:t>
      </w:r>
      <w:hyperlink r:id="rId53" w:tooltip="https://github.com/topics/data-science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https://github.com/topics/data-science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03.05.2025)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Google AI Blog – Исследования в области искусственного интеллекта [Электронный ресурс]. – Режим доступа: https://ai.googleblog.com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04.05.2025)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Medium – Раздел Data Science [Электронный ресурс]. – Режим доступа: https://medium.com/topic/data-science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04.05.2025)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Data Science Central – Сообщество и статьи по аналитике и данным [Электронный ресурс]. – Режим доступа: </w:t>
      </w:r>
      <w:hyperlink r:id="rId54" w:tooltip="https://www.datasciencecentral.com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https://www.datasciencecentral.com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05.05.2025)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Analytics Vidhya – Платформа по обучению и новостям Data Science [Электронный ресурс]. – Режим доступа: </w:t>
      </w:r>
      <w:hyperlink r:id="rId55" w:tooltip="https://www.analyticsvidhya.com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https://www.analyticsvidhya.com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05.05.2025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Machine Learning Mastery – Практические руководства по ML [Электронный ресурс] / Дж. Браунли. – Режим доступа: </w:t>
      </w:r>
      <w:hyperlink r:id="rId56" w:tooltip="https://machinelearningmastery.com/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https://machinelearningmastery.com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06.05.2025)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Style w:val="999"/>
        <w:numPr>
          <w:ilvl w:val="0"/>
          <w:numId w:val="5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709"/>
        <w:contextualSpacing w:val="true"/>
        <w:jc w:val="both"/>
        <w:rPr>
          <w:b w:val="0"/>
          <w:bCs w:val="0"/>
          <w:sz w:val="28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OpenAI. Исследования и инструменты в области ИИ [Электронный ресурс]. – Режим доступа: </w:t>
      </w:r>
      <w:hyperlink r:id="rId57" w:tooltip="https://openai.com/research" w:history="1">
        <w:r>
          <w:rPr>
            <w:rStyle w:val="1000"/>
            <w:rFonts w:ascii="Times New Roman" w:hAnsi="Times New Roman" w:eastAsia="Times New Roman" w:cs="Times New Roman"/>
            <w:b w:val="0"/>
            <w:bCs w:val="0"/>
            <w:color w:val="0000ee"/>
            <w:sz w:val="28"/>
            <w:szCs w:val="32"/>
            <w:highlight w:val="none"/>
            <w:u w:val="single"/>
          </w:rPr>
          <w:t xml:space="preserve">https://openai.com/research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 (дата обращения: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7.05.2025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32"/>
          <w:highlight w:val="none"/>
        </w:rPr>
        <w:t xml:space="preserve">.</w:t>
      </w:r>
      <w:r>
        <w:rPr>
          <w:b w:val="0"/>
          <w:bCs w:val="0"/>
          <w:sz w:val="32"/>
          <w:szCs w:val="32"/>
          <w:highlight w:val="none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567" w:bottom="850" w:left="1701" w:header="658" w:footer="425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0"/>
      <w:pBdr/>
      <w:spacing/>
      <w:ind/>
      <w:jc w:val="center"/>
      <w:rPr>
        <w:color w:val="000000" w:themeColor="text1"/>
      </w:rPr>
    </w:pPr>
    <w:fldSimple w:instr="PAGE \* MERGEFORMAT">
      <w:r>
        <w:rPr>
          <w:color w:val="000000" w:themeColor="text1"/>
        </w:rPr>
        <w:t xml:space="preserve">1</w:t>
      </w:r>
    </w:fldSimple>
    <w:r>
      <w:rPr>
        <w:color w:val="000000" w:themeColor="text1"/>
      </w:rPr>
    </w:r>
    <w:r>
      <w:rPr>
        <w:color w:val="000000" w:themeColor="text1"/>
      </w:rPr>
    </w:r>
  </w:p>
  <w:p>
    <w:pPr>
      <w:pStyle w:val="990"/>
      <w:pBdr/>
      <w:spacing/>
      <w:ind/>
      <w:rPr>
        <w:color w:val="000000" w:themeColor="text1"/>
      </w:rPr>
    </w:pPr>
    <w:r>
      <w:rPr>
        <w:color w:val="000000" w:themeColor="text1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/>
        <w:color w:val="065cab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86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0"/>
      </w:pPr>
      <w:rPr/>
      <w:start w:val="1"/>
      <w:suff w:val="tab"/>
    </w:lvl>
  </w:abstractNum>
  <w:abstractNum w:abstractNumId="9">
    <w:lvl w:ilvl="0">
      <w:isLgl w:val="false"/>
      <w:lvlJc w:val="left"/>
      <w:lvlText w:val="2.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1.%4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1.%4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862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862"/>
      </w:pPr>
      <w:rPr>
        <w:rFonts w:hint="default" w:ascii="Symbol" w:hAnsi="Symbol"/>
        <w:color w:val="065cab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10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10"/>
  </w:num>
  <w:num w:numId="2">
    <w:abstractNumId w:val="18"/>
  </w:num>
  <w:num w:numId="3">
    <w:abstractNumId w:val="13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4">
    <w:abstractNumId w:val="14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5">
    <w:abstractNumId w:val="1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6">
    <w:abstractNumId w:val="4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7">
    <w:abstractNumId w:val="7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8">
    <w:abstractNumId w:val="20"/>
    <w:lvlOverride w:ilvl="0">
      <w:lvl w:ilvl="0">
        <w:isLgl w:val="false"/>
        <w:lvlJc w:val="left"/>
        <w:lvlText w:val="%1."/>
        <w:numFmt w:val="decimal"/>
        <w:pPr>
          <w:pBdr/>
          <w:spacing/>
          <w:ind/>
        </w:pPr>
        <w:rPr/>
        <w:start w:val="0"/>
        <w:suff w:val="tab"/>
      </w:lvl>
    </w:lvlOverride>
  </w:num>
  <w:num w:numId="9">
    <w:abstractNumId w:val="19"/>
  </w:num>
  <w:num w:numId="10">
    <w:abstractNumId w:val="12"/>
  </w:num>
  <w:num w:numId="11">
    <w:abstractNumId w:val="3"/>
  </w:num>
  <w:num w:numId="12">
    <w:abstractNumId w:val="2"/>
  </w:num>
  <w:num w:numId="13">
    <w:abstractNumId w:val="11"/>
  </w:num>
  <w:num w:numId="14">
    <w:abstractNumId w:val="9"/>
  </w:num>
  <w:num w:numId="15">
    <w:abstractNumId w:val="8"/>
  </w:num>
  <w:num w:numId="16">
    <w:abstractNumId w:val="17"/>
  </w:num>
  <w:num w:numId="17">
    <w:abstractNumId w:val="0"/>
  </w:num>
  <w:num w:numId="18">
    <w:abstractNumId w:val="21"/>
  </w:num>
  <w:num w:numId="19">
    <w:abstractNumId w:val="6"/>
  </w:num>
  <w:num w:numId="20">
    <w:abstractNumId w:val="16"/>
  </w:num>
  <w:num w:numId="21">
    <w:abstractNumId w:val="5"/>
  </w:num>
  <w:num w:numId="22">
    <w:abstractNumId w:val="22"/>
  </w:num>
  <w:num w:numId="23">
    <w:abstractNumId w:val="15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7">
    <w:name w:val="Table Grid Light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1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2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1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2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3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5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6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2">
    <w:name w:val="Heading 1"/>
    <w:basedOn w:val="982"/>
    <w:next w:val="982"/>
    <w:link w:val="9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3">
    <w:name w:val="Heading 2"/>
    <w:basedOn w:val="982"/>
    <w:next w:val="982"/>
    <w:link w:val="9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4">
    <w:name w:val="Heading 3"/>
    <w:basedOn w:val="982"/>
    <w:next w:val="982"/>
    <w:link w:val="9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5">
    <w:name w:val="Heading 4"/>
    <w:basedOn w:val="982"/>
    <w:next w:val="982"/>
    <w:link w:val="9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6">
    <w:name w:val="Heading 5"/>
    <w:basedOn w:val="982"/>
    <w:next w:val="982"/>
    <w:link w:val="9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7">
    <w:name w:val="Heading 6"/>
    <w:basedOn w:val="982"/>
    <w:next w:val="982"/>
    <w:link w:val="9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8">
    <w:name w:val="Heading 7"/>
    <w:basedOn w:val="982"/>
    <w:next w:val="982"/>
    <w:link w:val="9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9">
    <w:name w:val="Heading 8"/>
    <w:basedOn w:val="982"/>
    <w:next w:val="982"/>
    <w:link w:val="9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Heading 9"/>
    <w:basedOn w:val="982"/>
    <w:next w:val="982"/>
    <w:link w:val="9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1 Char"/>
    <w:basedOn w:val="983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2">
    <w:name w:val="Heading 2 Char"/>
    <w:basedOn w:val="983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3">
    <w:name w:val="Heading 3 Char"/>
    <w:basedOn w:val="983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4">
    <w:name w:val="Heading 4 Char"/>
    <w:basedOn w:val="983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5">
    <w:name w:val="Heading 5 Char"/>
    <w:basedOn w:val="983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6">
    <w:name w:val="Heading 6 Char"/>
    <w:basedOn w:val="983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7">
    <w:name w:val="Heading 7 Char"/>
    <w:basedOn w:val="983"/>
    <w:link w:val="9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8">
    <w:name w:val="Heading 8 Char"/>
    <w:basedOn w:val="983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9">
    <w:name w:val="Heading 9 Char"/>
    <w:basedOn w:val="983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0">
    <w:name w:val="Title"/>
    <w:basedOn w:val="982"/>
    <w:next w:val="982"/>
    <w:link w:val="9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1">
    <w:name w:val="Title Char"/>
    <w:basedOn w:val="983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2">
    <w:name w:val="Subtitle"/>
    <w:basedOn w:val="982"/>
    <w:next w:val="982"/>
    <w:link w:val="9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3">
    <w:name w:val="Subtitle Char"/>
    <w:basedOn w:val="983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4">
    <w:name w:val="Quote"/>
    <w:basedOn w:val="982"/>
    <w:next w:val="982"/>
    <w:link w:val="9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5">
    <w:name w:val="Quote Char"/>
    <w:basedOn w:val="983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Intense Emphasis"/>
    <w:basedOn w:val="9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7">
    <w:name w:val="Intense Quote"/>
    <w:basedOn w:val="982"/>
    <w:next w:val="982"/>
    <w:link w:val="9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8">
    <w:name w:val="Intense Quote Char"/>
    <w:basedOn w:val="983"/>
    <w:link w:val="9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9">
    <w:name w:val="Intense Reference"/>
    <w:basedOn w:val="9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0">
    <w:name w:val="Subtle Emphasis"/>
    <w:basedOn w:val="9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1">
    <w:name w:val="Emphasis"/>
    <w:basedOn w:val="983"/>
    <w:uiPriority w:val="20"/>
    <w:qFormat/>
    <w:pPr>
      <w:pBdr/>
      <w:spacing/>
      <w:ind/>
    </w:pPr>
    <w:rPr>
      <w:i/>
      <w:iCs/>
    </w:rPr>
  </w:style>
  <w:style w:type="character" w:styleId="962">
    <w:name w:val="Strong"/>
    <w:basedOn w:val="983"/>
    <w:uiPriority w:val="22"/>
    <w:qFormat/>
    <w:pPr>
      <w:pBdr/>
      <w:spacing/>
      <w:ind/>
    </w:pPr>
    <w:rPr>
      <w:b/>
      <w:bCs/>
    </w:rPr>
  </w:style>
  <w:style w:type="character" w:styleId="963">
    <w:name w:val="Subtle Reference"/>
    <w:basedOn w:val="9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4">
    <w:name w:val="Book Title"/>
    <w:basedOn w:val="98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5">
    <w:name w:val="Header Char"/>
    <w:basedOn w:val="983"/>
    <w:link w:val="988"/>
    <w:uiPriority w:val="99"/>
    <w:pPr>
      <w:pBdr/>
      <w:spacing/>
      <w:ind/>
    </w:pPr>
  </w:style>
  <w:style w:type="character" w:styleId="966">
    <w:name w:val="Footer Char"/>
    <w:basedOn w:val="983"/>
    <w:link w:val="990"/>
    <w:uiPriority w:val="99"/>
    <w:pPr>
      <w:pBdr/>
      <w:spacing/>
      <w:ind/>
    </w:pPr>
  </w:style>
  <w:style w:type="paragraph" w:styleId="967">
    <w:name w:val="Caption"/>
    <w:basedOn w:val="982"/>
    <w:next w:val="9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68">
    <w:name w:val="Footnote Text Char"/>
    <w:basedOn w:val="98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Text Char"/>
    <w:basedOn w:val="983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llowedHyperlink"/>
    <w:basedOn w:val="9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1">
    <w:name w:val="toc 1"/>
    <w:basedOn w:val="982"/>
    <w:next w:val="982"/>
    <w:uiPriority w:val="39"/>
    <w:unhideWhenUsed/>
    <w:pPr>
      <w:pBdr/>
      <w:spacing w:after="100"/>
      <w:ind/>
    </w:pPr>
  </w:style>
  <w:style w:type="paragraph" w:styleId="972">
    <w:name w:val="toc 2"/>
    <w:basedOn w:val="982"/>
    <w:next w:val="982"/>
    <w:uiPriority w:val="39"/>
    <w:unhideWhenUsed/>
    <w:pPr>
      <w:pBdr/>
      <w:spacing w:after="100"/>
      <w:ind w:left="220"/>
    </w:pPr>
  </w:style>
  <w:style w:type="paragraph" w:styleId="973">
    <w:name w:val="toc 3"/>
    <w:basedOn w:val="982"/>
    <w:next w:val="982"/>
    <w:uiPriority w:val="39"/>
    <w:unhideWhenUsed/>
    <w:pPr>
      <w:pBdr/>
      <w:spacing w:after="100"/>
      <w:ind w:left="440"/>
    </w:pPr>
  </w:style>
  <w:style w:type="paragraph" w:styleId="974">
    <w:name w:val="toc 4"/>
    <w:basedOn w:val="982"/>
    <w:next w:val="982"/>
    <w:uiPriority w:val="39"/>
    <w:unhideWhenUsed/>
    <w:pPr>
      <w:pBdr/>
      <w:spacing w:after="100"/>
      <w:ind w:left="660"/>
    </w:pPr>
  </w:style>
  <w:style w:type="paragraph" w:styleId="975">
    <w:name w:val="toc 5"/>
    <w:basedOn w:val="982"/>
    <w:next w:val="982"/>
    <w:uiPriority w:val="39"/>
    <w:unhideWhenUsed/>
    <w:pPr>
      <w:pBdr/>
      <w:spacing w:after="100"/>
      <w:ind w:left="880"/>
    </w:pPr>
  </w:style>
  <w:style w:type="paragraph" w:styleId="976">
    <w:name w:val="toc 6"/>
    <w:basedOn w:val="982"/>
    <w:next w:val="982"/>
    <w:uiPriority w:val="39"/>
    <w:unhideWhenUsed/>
    <w:pPr>
      <w:pBdr/>
      <w:spacing w:after="100"/>
      <w:ind w:left="1100"/>
    </w:pPr>
  </w:style>
  <w:style w:type="paragraph" w:styleId="977">
    <w:name w:val="toc 7"/>
    <w:basedOn w:val="982"/>
    <w:next w:val="982"/>
    <w:uiPriority w:val="39"/>
    <w:unhideWhenUsed/>
    <w:pPr>
      <w:pBdr/>
      <w:spacing w:after="100"/>
      <w:ind w:left="1320"/>
    </w:pPr>
  </w:style>
  <w:style w:type="paragraph" w:styleId="978">
    <w:name w:val="toc 8"/>
    <w:basedOn w:val="982"/>
    <w:next w:val="982"/>
    <w:uiPriority w:val="39"/>
    <w:unhideWhenUsed/>
    <w:pPr>
      <w:pBdr/>
      <w:spacing w:after="100"/>
      <w:ind w:left="1540"/>
    </w:pPr>
  </w:style>
  <w:style w:type="paragraph" w:styleId="979">
    <w:name w:val="toc 9"/>
    <w:basedOn w:val="982"/>
    <w:next w:val="982"/>
    <w:uiPriority w:val="39"/>
    <w:unhideWhenUsed/>
    <w:pPr>
      <w:pBdr/>
      <w:spacing w:after="100"/>
      <w:ind w:left="1760"/>
    </w:pPr>
  </w:style>
  <w:style w:type="paragraph" w:styleId="980">
    <w:name w:val="TOC Heading"/>
    <w:uiPriority w:val="39"/>
    <w:unhideWhenUsed/>
    <w:pPr>
      <w:pBdr/>
      <w:spacing/>
      <w:ind/>
    </w:pPr>
  </w:style>
  <w:style w:type="paragraph" w:styleId="981">
    <w:name w:val="table of figures"/>
    <w:basedOn w:val="982"/>
    <w:next w:val="982"/>
    <w:uiPriority w:val="99"/>
    <w:unhideWhenUsed/>
    <w:pPr>
      <w:pBdr/>
      <w:spacing w:after="0" w:afterAutospacing="0"/>
      <w:ind/>
    </w:pPr>
  </w:style>
  <w:style w:type="paragraph" w:styleId="982" w:default="1">
    <w:name w:val="Normal"/>
    <w:qFormat/>
    <w:pPr>
      <w:pBdr/>
      <w:spacing w:after="0" w:line="360" w:lineRule="auto"/>
      <w:ind w:firstLine="700"/>
      <w:jc w:val="center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</w:style>
  <w:style w:type="character" w:styleId="983" w:default="1">
    <w:name w:val="Default Paragraph Font"/>
    <w:uiPriority w:val="1"/>
    <w:semiHidden/>
    <w:unhideWhenUsed/>
    <w:pPr>
      <w:pBdr/>
      <w:spacing/>
      <w:ind/>
    </w:pPr>
  </w:style>
  <w:style w:type="table" w:styleId="9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5" w:default="1">
    <w:name w:val="No List"/>
    <w:uiPriority w:val="99"/>
    <w:semiHidden/>
    <w:unhideWhenUsed/>
    <w:pPr>
      <w:pBdr/>
      <w:spacing/>
      <w:ind/>
    </w:pPr>
  </w:style>
  <w:style w:type="paragraph" w:styleId="986">
    <w:name w:val="No Spacing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</w:style>
  <w:style w:type="table" w:styleId="987">
    <w:name w:val="Table Grid"/>
    <w:basedOn w:val="984"/>
    <w:uiPriority w:val="59"/>
    <w:pPr>
      <w:pBdr/>
      <w:spacing w:after="0" w:line="240" w:lineRule="auto"/>
      <w:ind w:firstLine="700"/>
      <w:jc w:val="center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>
    <w:name w:val="Header"/>
    <w:basedOn w:val="982"/>
    <w:link w:val="989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89" w:customStyle="1">
    <w:name w:val="Верхний колонтитул Знак"/>
    <w:basedOn w:val="983"/>
    <w:link w:val="988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</w:style>
  <w:style w:type="paragraph" w:styleId="990">
    <w:name w:val="Footer"/>
    <w:basedOn w:val="982"/>
    <w:link w:val="99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91" w:customStyle="1">
    <w:name w:val="Нижний колонтитул Знак"/>
    <w:basedOn w:val="983"/>
    <w:link w:val="990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</w:style>
  <w:style w:type="paragraph" w:styleId="992">
    <w:name w:val="footnote text"/>
    <w:basedOn w:val="982"/>
    <w:link w:val="99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93" w:customStyle="1">
    <w:name w:val="Текст сноски Знак"/>
    <w:basedOn w:val="983"/>
    <w:link w:val="99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  <w14:ligatures w14:val="none"/>
    </w:rPr>
  </w:style>
  <w:style w:type="character" w:styleId="994">
    <w:name w:val="footnote reference"/>
    <w:basedOn w:val="983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982"/>
    <w:link w:val="99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96" w:customStyle="1">
    <w:name w:val="Текст концевой сноски Знак"/>
    <w:basedOn w:val="983"/>
    <w:link w:val="99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  <w14:ligatures w14:val="none"/>
    </w:rPr>
  </w:style>
  <w:style w:type="character" w:styleId="997">
    <w:name w:val="endnote reference"/>
    <w:basedOn w:val="983"/>
    <w:uiPriority w:val="99"/>
    <w:semiHidden/>
    <w:unhideWhenUsed/>
    <w:pPr>
      <w:pBdr/>
      <w:spacing/>
      <w:ind/>
    </w:pPr>
    <w:rPr>
      <w:vertAlign w:val="superscript"/>
    </w:rPr>
  </w:style>
  <w:style w:type="paragraph" w:styleId="998">
    <w:name w:val="Normal (Web)"/>
    <w:basedOn w:val="982"/>
    <w:uiPriority w:val="99"/>
    <w:semiHidden/>
    <w:unhideWhenUsed/>
    <w:pPr>
      <w:pBdr/>
      <w:spacing w:after="100" w:afterAutospacing="1" w:before="100" w:beforeAutospacing="1" w:line="240" w:lineRule="auto"/>
      <w:ind w:firstLine="0"/>
      <w:jc w:val="left"/>
    </w:pPr>
    <w:rPr>
      <w:sz w:val="24"/>
      <w:szCs w:val="24"/>
    </w:rPr>
  </w:style>
  <w:style w:type="paragraph" w:styleId="999">
    <w:name w:val="List Paragraph"/>
    <w:basedOn w:val="982"/>
    <w:uiPriority w:val="34"/>
    <w:qFormat/>
    <w:pPr>
      <w:pBdr/>
      <w:spacing/>
      <w:ind w:left="720"/>
      <w:contextualSpacing w:val="true"/>
    </w:pPr>
  </w:style>
  <w:style w:type="character" w:styleId="1000">
    <w:name w:val="Hyperlink"/>
    <w:basedOn w:val="9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1">
    <w:name w:val="Unresolved Mention"/>
    <w:basedOn w:val="98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2" w:customStyle="1">
    <w:name w:val="ывы_character"/>
    <w:link w:val="1003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003" w:customStyle="1">
    <w:name w:val="ывы"/>
    <w:basedOn w:val="982"/>
    <w:link w:val="1002"/>
    <w:qFormat/>
    <w:pPr>
      <w:suppressLineNumbers w:val="false"/>
      <w:pBdr/>
      <w:shd w:val="nil"/>
      <w:spacing/>
      <w:ind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hyperlink" Target="file:///snap/onlyoffice-desktopeditors/477/opt/onlyoffice/desktopeditors/editors/web-apps/apps/documenteditor/main/index.html?_dc=0&amp;lang=ru-RU&amp;type=desktop&amp;frameEditorId=placeholder&amp;isForm=false&amp;parentOrigin=file://&amp;fileType=docx#%D1%82%D0%B0%D0%B1%D0%BB%D0%B8%D1%86%D0%B0-%D1%80%D0%B5%D0%B3%D1%80%D0%B5%D1%81%D1%81%D0%B8%D0%BE%D0%BD%D0%BD%D1%8B%D1%85-%D0%BC%D0%BE%D0%B4%D0%B5%D0%BB%D0%B5%D0%B9" TargetMode="External"/><Relationship Id="rId43" Type="http://schemas.openxmlformats.org/officeDocument/2006/relationships/image" Target="media/image28.png"/><Relationship Id="rId44" Type="http://schemas.openxmlformats.org/officeDocument/2006/relationships/hyperlink" Target="http://localhost:5000/" TargetMode="External"/><Relationship Id="rId45" Type="http://schemas.openxmlformats.org/officeDocument/2006/relationships/hyperlink" Target="https://github.com/username" TargetMode="External"/><Relationship Id="rId46" Type="http://schemas.openxmlformats.org/officeDocument/2006/relationships/hyperlink" Target="https://github.com/username/materials-predictor" TargetMode="External"/><Relationship Id="rId47" Type="http://schemas.openxmlformats.org/officeDocument/2006/relationships/hyperlink" Target="https://ru.wikipedia.org/wiki/Data_science" TargetMode="External"/><Relationship Id="rId48" Type="http://schemas.openxmlformats.org/officeDocument/2006/relationships/hyperlink" Target="https://scikit-learn.org/stable/" TargetMode="External"/><Relationship Id="rId49" Type="http://schemas.openxmlformats.org/officeDocument/2006/relationships/hyperlink" Target="https://www.kaggle.com/" TargetMode="External"/><Relationship Id="rId50" Type="http://schemas.openxmlformats.org/officeDocument/2006/relationships/hyperlink" Target="https://www.tensorflow.org/" TargetMode="External"/><Relationship Id="rId51" Type="http://schemas.openxmlformats.org/officeDocument/2006/relationships/hyperlink" Target="https://pytorch.org/" TargetMode="External"/><Relationship Id="rId52" Type="http://schemas.openxmlformats.org/officeDocument/2006/relationships/hyperlink" Target="https://towardsdatascience.com/" TargetMode="External"/><Relationship Id="rId53" Type="http://schemas.openxmlformats.org/officeDocument/2006/relationships/hyperlink" Target="https://github.com/topics/data-science" TargetMode="External"/><Relationship Id="rId54" Type="http://schemas.openxmlformats.org/officeDocument/2006/relationships/hyperlink" Target="https://www.datasciencecentral.com/" TargetMode="External"/><Relationship Id="rId55" Type="http://schemas.openxmlformats.org/officeDocument/2006/relationships/hyperlink" Target="https://www.analyticsvidhya.com/" TargetMode="External"/><Relationship Id="rId56" Type="http://schemas.openxmlformats.org/officeDocument/2006/relationships/hyperlink" Target="https://machinelearningmastery.com/" TargetMode="External"/><Relationship Id="rId57" Type="http://schemas.openxmlformats.org/officeDocument/2006/relationships/hyperlink" Target="https://openai.com/researc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50ED0-5970-4623-A4D6-47BB6763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revision>7</cp:revision>
  <dcterms:created xsi:type="dcterms:W3CDTF">2023-08-23T12:31:00Z</dcterms:created>
  <dcterms:modified xsi:type="dcterms:W3CDTF">2025-05-07T20:49:01Z</dcterms:modified>
</cp:coreProperties>
</file>