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МИНИСТЕРСТВО НАУКИ И ВЫСШЕГО ОБРАЗОВАНИЯ 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РОССИЙСКОЙ ФЕДЕРАЦИИ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Федеральное государственное </w:t>
      </w:r>
      <w:r>
        <w:rPr>
          <w:lang w:val="ru"/>
        </w:rPr>
        <w:t xml:space="preserve">автономное</w:t>
      </w:r>
      <w:r>
        <w:rPr>
          <w:lang w:val="ru"/>
        </w:rPr>
        <w:t xml:space="preserve"> образовательное учреждение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высшего образования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«Московский государственный технический университет имени Н.Э.</w:t>
      </w:r>
      <w:r>
        <w:rPr>
          <w:lang w:val="ru"/>
        </w:rPr>
        <w:t xml:space="preserve"> </w:t>
      </w:r>
      <w:r>
        <w:rPr>
          <w:sz w:val="27"/>
          <w:szCs w:val="27"/>
          <w:lang w:val="ru"/>
        </w:rPr>
        <w:t xml:space="preserve">Баумана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(национальный исследовательский университет)»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b/>
          <w:lang w:val="ru"/>
        </w:rPr>
      </w:pPr>
      <w:r>
        <w:rPr>
          <w:b/>
          <w:lang w:val="ru"/>
        </w:rPr>
        <w:t xml:space="preserve">ВЫПУСКНАЯ КВАЛИФИКАЦИОННАЯ РАБОТА </w:t>
      </w:r>
      <w:r>
        <w:rPr>
          <w:b/>
          <w:lang w:val="ru"/>
        </w:rPr>
      </w:r>
      <w:r>
        <w:rPr>
          <w:b/>
          <w:lang w:val="ru"/>
        </w:rPr>
      </w:r>
    </w:p>
    <w:p>
      <w:pPr>
        <w:pBdr/>
        <w:spacing w:line="240" w:lineRule="auto"/>
        <w:ind w:firstLine="0"/>
        <w:rPr>
          <w:b/>
          <w:lang w:val="en-US"/>
        </w:rPr>
      </w:pPr>
      <w:r>
        <w:rPr>
          <w:b/>
          <w:lang w:val="ru"/>
        </w:rPr>
        <w:t xml:space="preserve">по</w:t>
      </w:r>
      <w:r>
        <w:rPr>
          <w:b/>
          <w:lang w:val="en-US"/>
        </w:rPr>
        <w:t xml:space="preserve"> </w:t>
      </w:r>
      <w:r>
        <w:rPr>
          <w:b/>
          <w:lang w:val="ru"/>
        </w:rPr>
        <w:t xml:space="preserve">курсу</w:t>
      </w:r>
      <w:r>
        <w:rPr>
          <w:b/>
          <w:lang w:val="en-US"/>
        </w:rPr>
        <w:t xml:space="preserve"> </w:t>
      </w:r>
      <w:r>
        <w:rPr>
          <w:b/>
          <w:lang w:val="en-US"/>
        </w:rPr>
      </w:r>
      <w:r>
        <w:rPr>
          <w:b/>
          <w:lang w:val="en-US"/>
        </w:rPr>
      </w:r>
    </w:p>
    <w:p>
      <w:pPr>
        <w:pBdr/>
        <w:spacing w:line="240" w:lineRule="auto"/>
        <w:ind w:firstLine="0"/>
        <w:rPr>
          <w:lang w:val="en-US"/>
        </w:rPr>
      </w:pPr>
      <w:r>
        <w:rPr>
          <w:lang w:val="en-US"/>
        </w:rPr>
        <w:t xml:space="preserve">«Data Science</w:t>
      </w:r>
      <w:r>
        <w:rPr>
          <w:lang w:val="en-US"/>
        </w:rPr>
        <w:t xml:space="preserve"> </w:t>
      </w:r>
      <w:r>
        <w:rPr>
          <w:lang w:val="en-US"/>
        </w:rPr>
        <w:t xml:space="preserve">Pro</w:t>
      </w:r>
      <w:r>
        <w:rPr>
          <w:lang w:val="en-US"/>
        </w:rPr>
        <w:t xml:space="preserve">»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/>
      <w:bookmarkStart w:id="0" w:name="_heading=h.3rdcrjn"/>
      <w:r/>
      <w:bookmarkEnd w:id="0"/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lang w:val="ru"/>
        </w:rPr>
        <w:t xml:space="preserve">Слушатель</w:t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u w:val="single"/>
          <w:lang w:val="ru-RU"/>
        </w:rPr>
        <w:t xml:space="preserve">Лосяков Сергей Геннадиевич</w:t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u w:val="single"/>
          <w:lang w:val="ru"/>
        </w:rPr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rPr>
          <w:u w:val="single"/>
        </w:rPr>
      </w:pPr>
      <w:r>
        <w:rPr>
          <w:lang w:val="ru"/>
        </w:rPr>
        <w:t xml:space="preserve">Москва, 202</w:t>
      </w:r>
      <w:r>
        <w:t xml:space="preserve">5</w:t>
      </w:r>
      <w:r>
        <w:rPr>
          <w:u w:val="single"/>
        </w:rPr>
      </w:r>
      <w:r>
        <w:rPr>
          <w:u w:val="singl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US"/>
        </w:rPr>
      </w:pPr>
      <w:r>
        <w:t xml:space="preserve">Содержание</w:t>
      </w:r>
      <w:r>
        <w:rPr>
          <w:lang w:val="en-US"/>
        </w:rPr>
        <w:t xml:space="preserve">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/>
              <w:highlight w:val="none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r/>
          <w:hyperlink w:tooltip="#_Toc1" w:anchor="_Toc1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Введение</w:t>
            </w:r>
            <w:r>
              <w:rPr>
                <w:rStyle w:val="1075"/>
                <w:rFonts w:ascii="Times New Roman" w:hAnsi="Times New Roman" w:cs="Times New Roman"/>
                <w:b/>
                <w:bCs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/>
            </w:rPr>
          </w:pPr>
          <w:hyperlink w:tooltip="#_Toc2" w:anchor="_Toc2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1. Аналитическая часть</w:t>
            </w:r>
            <w:r>
              <w:rPr>
                <w:rStyle w:val="1075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pPr>
          <w:hyperlink w:tooltip="#_Toc3" w:anchor="_Toc3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1.1. Постановка задачи.</w:t>
            </w:r>
            <w:r>
              <w:rPr>
                <w:rStyle w:val="1075"/>
                <w:rFonts w:ascii="Times New Roman" w:hAnsi="Times New Roman" w:cs="Times New Roman"/>
                <w:b/>
                <w:bCs w:val="0"/>
                <w:i w:val="0"/>
                <w:iCs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4" w:anchor="_Toc4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1.2. Описание используемых методов.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5" w:anchor="_Toc5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1.3. Разведочный анализ данных.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6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hyperlink w:tooltip="#_Toc6" w:anchor="_Toc6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2.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en-US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</w:rPr>
              <w:t xml:space="preserve">Практическая часть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</w:p>
        <w:p>
          <w:pPr>
            <w:pStyle w:val="1047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7" w:anchor="_Toc7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2.1.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Предобработка данных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8" w:anchor="_Toc8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2.2.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и обучение модели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9" w:anchor="_Toc9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2.3.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Тестирование модели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10" w:anchor="_Toc10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2.4.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Написать нейронную сеть, которая будет рекомендовать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соотношение матриц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ы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11" w:anchor="_Toc11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2.5.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приложения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7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pPr>
          <w:hyperlink w:tooltip="#_Toc12" w:anchor="_Toc12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2.6.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Создание удаленного репозитория и загрузка результатов работы на него.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 w:val="0"/>
                <w:i w:val="0"/>
                <w:i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  <w14:ligatures w14:val="none"/>
            </w:rPr>
          </w:r>
        </w:p>
        <w:p>
          <w:pPr>
            <w:pStyle w:val="1046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hyperlink w:tooltip="#_Toc13" w:anchor="_Toc13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Заключение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14:ligatures w14:val="none"/>
            </w:rPr>
          </w:r>
        </w:p>
        <w:p>
          <w:pPr>
            <w:pStyle w:val="1046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  <w14:ligatures w14:val="none"/>
            </w:rPr>
          </w:pPr>
          <w:hyperlink w:tooltip="#_Toc14" w:anchor="_Toc14" w:history="1">
            <w:r>
              <w:rPr>
                <w:rStyle w:val="1075"/>
              </w:rPr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Библиографический список</w:t>
            </w:r>
            <w:r>
              <w:rPr>
                <w:rStyle w:val="1075"/>
                <w:rFonts w:ascii="Times New Roman" w:hAnsi="Times New Roman" w:eastAsia="Times New Roman" w:cs="Times New Roman"/>
                <w:b/>
                <w:bCs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  <w:lang w:val="ru-RU"/>
              <w14:ligatures w14:val="none"/>
            </w:rPr>
          </w:r>
        </w:p>
        <w:p>
          <w:pPr>
            <w:suppressLineNumbers w:val="false"/>
            <w:pBdr/>
            <w:spacing w:after="0" w:before="0" w:line="360" w:lineRule="auto"/>
            <w:ind w:firstLine="709"/>
            <w:contextualSpacing w:val="false"/>
            <w:jc w:val="center"/>
            <w:rPr/>
          </w:pPr>
          <w:r/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fldChar w:fldCharType="end"/>
          </w:r>
          <w:r/>
          <w:r/>
        </w:p>
      </w:sdtContent>
    </w:sdt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ru-RU"/>
        </w:rPr>
        <w:t xml:space="preserve">Введение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  <w:bookmarkEnd w:id="1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материаловедение активно развивается в направлении создания новых композитных материалов с заданными свойствами. Композиционные материалы представляют собой многокомпонентные системы, сочетающие в себе преимущества различных веществ — например,</w:t>
      </w:r>
      <w:r>
        <w:t xml:space="preserve"> прочность волокон и пластичность полимерной матрицы. Благодаря этому композиты находят широкое применение в авиации, строительстве, машиностроении и других высокотехнологичных отраслях.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Однако определение конечных свойств таких материалов по характеристикам исходных компонентов остаётся сложной задачей. Традиционный подход, основанный на физических испытаниях, требует значительных затрат времени, ресурсов и часто ограничен количеством воз</w:t>
      </w:r>
      <w:r>
        <w:t xml:space="preserve">можных комбинаций. В связи с этим всё более актуальными становятся методы цифрового материаловедения, использующие машинное обучение и анализ данных для построения прогнозных моделей.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Целью данной работы является разработка алгоритмов машинного обучения и нейронных сетей, способных предсказывать ключевые механические характеристики композиционных материалов — такие как модуль упругости и прочность при растяжении — по данным о составе и </w:t>
      </w:r>
      <w:r>
        <w:t xml:space="preserve">условиях их производства. Помимо этого, в рамках проекта создаётся рекомендационная система, определяющая оптимальное соотношение компонентов композита, а также программное приложение, реализующее разработанные модели. Работа опирается на реальные производ</w:t>
      </w:r>
      <w:r>
        <w:t xml:space="preserve">ственные данные, предоставленные Центром НТИ «Цифровое материаловедение» при МГТУ им. Н.Э. Баумана.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Использование предложенных решений позволит сократить количество натурных испытаний, ускорить этапы разработки новых материалов и создать цифровых двойников для моделирования их свойств в виртуальной среде.</w:t>
      </w:r>
      <w:r>
        <w:rPr>
          <w:highlight w:val="none"/>
          <w:lang w:val="ru-RU"/>
        </w:rPr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1. Аналитическая часть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bookmarkEnd w:id="2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1.1. Постановка задачи.</w:t>
      </w:r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  <w:bookmarkEnd w:id="3"/>
      <w:r/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производство композиционных материалов сталкивается с задачей прогнозирования механических свойств новых образцов без проведения длительных и дорогостоящих испытаний. Несмотря на то, что известны физико-химические параметры компонентов композит</w:t>
      </w:r>
      <w:r>
        <w:t xml:space="preserve">а (матрицы и наполнителя), взаимосвязь между их свойствами и итоговыми характеристиками материала сложна и нелинейна. В данной работе рассматривается задача построения модели машинного обучения, способной по свойствам компонентов и параметрам производства </w:t>
      </w:r>
      <w:r>
        <w:t xml:space="preserve">предсказывать два ключевых механических показателя композита:</w:t>
      </w:r>
      <w:r/>
    </w:p>
    <w:p>
      <w:pPr>
        <w:pStyle w:val="1074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 (ГПа);</w:t>
      </w:r>
      <w:r/>
    </w:p>
    <w:p>
      <w:pPr>
        <w:pStyle w:val="1074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 (МПа).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Дополнительно решается задача рекомендации оптимального соотношения "матрица-наполнитель" на основе нейронной 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качестве исходных данных используется таблица, содержащая 1023 записи, каждая из которых представляет собой уникальную комбинацию параметров и соответствующих выходных характеристик. Все признаки числовые. В датасете представлены следующие переменные: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Входные переменные (признаки):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Соотношение матрица-наполнитель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Плотность, кг/м³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упругости, ГПа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Количество отвердителя, м.%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Содержание эпоксидных групп, %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Температура вспышки, °C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Поверхностная плотность, г/м²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Потребление смолы, г/м²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Угол нашивки, градусы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Шаг нашивки</w:t>
      </w:r>
      <w:r/>
    </w:p>
    <w:p>
      <w:pPr>
        <w:pStyle w:val="1074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 нашивки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Выходные переменные (целевые):</w:t>
      </w:r>
      <w:r/>
    </w:p>
    <w:p>
      <w:pPr>
        <w:pStyle w:val="1074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растяжении, ГПа</w:t>
      </w:r>
      <w:r/>
    </w:p>
    <w:p>
      <w:pPr>
        <w:pStyle w:val="1074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растяжении, МПа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Проверка на пропуски показала, что во всех колонках отсутствуют пропущенные значения. Типы данных корректны и представлены как float64 или int64. Это указывает на хорошее качество данных и возможность перехода к машинному обучению без этапа восстановления </w:t>
      </w:r>
      <w:r>
        <w:t xml:space="preserve">пропусков.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Описательная статистика показала, что диапазоны значений по признакам находятся в адекватных пределах. Однако в некоторых переменных, например в "Температура вспышки, °C" и "Поверхностная плотность", наблюдаются существенные различия между минимумами и мак</w:t>
      </w:r>
      <w:r>
        <w:t xml:space="preserve">симумами, что может указывать на наличие выбросов. Также следует отметить, что большинство признаков имеют широкое распределение, что важно учитывать при масштабировании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Построенная корреляционная матрица показала, что линейная корреляция между входными признаками и целевыми переменными слабо выражена (коэффициенты корреляции находятся преимущественно в диапазоне от 0.01 до 0.07). Это свидетельствует о высокой сложности за</w:t>
      </w:r>
      <w:r>
        <w:t xml:space="preserve">висимости между параметрами и необходимости применения нелинейных методов моделирования, таких как ансамблевые модели или нейросети.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задача заключается в построении регрессионной модели, способной учитывать сложные взаимосвязи между характеристиками компонентов композиционного материала и его итоговыми механическими свойствами, с последующей интеграцией модели в прикладно</w:t>
      </w:r>
      <w:r>
        <w:t xml:space="preserve">е программное обеспечение.</w:t>
      </w:r>
      <w:r/>
    </w:p>
    <w:p>
      <w:pPr>
        <w:pBdr/>
        <w:spacing/>
        <w:ind w:firstLine="0" w:left="0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1.2. Описание используемых методов.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4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решения поставленной задачи прогнозирования механических характеристик композиционных материалов были применены два класса методов: ансамблевые модели машинного обучения и искусственные нейронные сети. Ниже приводится краткое описание каждого из них, 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ключая достоинства, недостатки и обоснование их применения.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Ансамблевые методы объединяют предсказания нескольких базовых моделей для получения более стабильного и точного результата. В данной работе использовалась модель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StackingRegressor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которая объединяет несколько алгоритмов (ElasticNet, Random Forest, KNN),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которые были отобраны после сравнения (таблица 1.1) передавая их выходы в финальную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модель (Linear Regression).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Повышенная устойчивость к переобучению за счёт объединения слабых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Возможность учитывать различные типы взаимосвязей за счёт разнообразия базовых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Простота интерпретации при использовании линейного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вычислительная сложность и время обучения.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Требует тщательной настройки и валидации.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Моделирование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 ограниченным объёмом данных и низкой корреляцией между признаками и целевой переменной.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4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Ситуации, где важно агрегировать слабые признаки в более устойчивое предсказание.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000000"/>
        <w:spacing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142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142"/>
        <w:jc w:val="both"/>
        <w:rPr>
          <w:highlight w:val="none"/>
        </w:rPr>
      </w:pPr>
      <w:r>
        <w:t xml:space="preserve">Таблица 1 – </w:t>
      </w:r>
      <w:r>
        <w:t xml:space="preserve">Сравнение методов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highlight w:val="none"/>
        </w:rPr>
      </w:r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Тип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Достоинства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Недостатки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Условия, при которых работает хорошо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ElasticNet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Сбалансированная регуляризация, устойчив к мультиколлинеарности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Требует подбора параметров α и l1_ratio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Линейные зависимости с шумом, много коррелированных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Random Forest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Не переобучается, устойчив к выбросам, работает с нечисловыми признаками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Большое потребление памяти, не интерпретируем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Сложные, нелинейные зависимости, небольшие датасеты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KNN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Алгоритм ближайших соседей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 в реализации, не требует обучения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Зависим от масштаба, чувствителен к выбросам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данные компактны и имеют локальную структуру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Ridge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Хорош при мультиколлинеарности, стабильен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Менее гибок, чем ElasticNet и 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Простые линейные задачи, где важна устойчивость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Отбрасывает ненужные признаки, простота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Может нестабильно работать при сильной корреляции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Малое количество признаков, где важно выбрать важные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Gradient Boosting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Высокая точность, гибкость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Медленный, требует настройки, может переобучаться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нужен максимум качества, при большом количестве данных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Linear Regression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Интерпретируемый, быстрый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Работает только при наличии линейной зависимости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Как базовая модель, начальный анализ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suppressLineNumbers w:val="false"/>
        <w:pBdr/>
        <w:shd w:val="nil" w:color="000000"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auto"/>
        <w:spacing/>
        <w:ind w:firstLine="0"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Нейросеть использовалась для решения задачи регрессии — прогнозирования значения соотношения матрица-наполнитель на основе других физических характеристик. Архитектура сети состоит из трёх полносвязных слоёв с функцией активации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tanh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Способность обучать сложные нелинейные зависимости даже при низкой линейной корреляции.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гибкость и адаптируемость под структуру данных.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Необходимость нормализации данных и большого числа параметров настройки.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Сложность интерпретации модели.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Уязвимость к переобучению на малых выборках.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0" w:left="709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Сложные регрессионные задачи, где простые модели не дают удовлетворительного качества.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4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Прогнозирование в условиях слабой линейной зависимости между переменными.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1.3. Разведочный анализ данных.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5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/>
        <w:spacing/>
        <w:ind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Разведочный анализ данных представляет собой начальный этап анализа, целью которого является выявление закономерностей, структуры данных, а также наличие выбросов, пропущенных значений и особенностей распределений признаков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рамках данного проекта были применены следующие методы: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Анализ распределения признаков – д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ля количественных признаков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гистограммы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boxplot-графики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описательная статистика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(среднее, медиана, минимум, максимум, стандартное отклонение).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Были выявлены признаки с сильными выбросами, например, плотность и температура, которые искажали общее распределение.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Обработка выбросов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применялся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метод межквартильного размаха (IQR)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: значения за пределами [Q1 – 1.5·IQR, Q3 + 1.5·IQR] были обрезаны или исключены из анализа.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стабилизировать обучение моделей и снизить влияние экстремальных значений на качество предсказания.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Корреляционный анализ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построена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матрица корреляций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между признаками и целевыми переменными (механические характеристики).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Было выявлено, что некоторые признаки имеют низкую корреляцию с целевыми (|r| &lt; 0.04) и были исключены из дальнейшего анализа, поскольку не вносили полезную информацию в предсказание.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1" b="1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584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5" o:title=""/>
                <o:lock v:ext="edit" rotation="t"/>
              </v:shape>
            </w:pict>
          </mc:Fallback>
        </mc:AlternateContent>
      </w:r>
      <w:r>
        <w:t xml:space="preserve">Рисунок 1 – Тепловая матрица корреляции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suppressLineNumbers w:val="false"/>
        <w:pBdr/>
        <w:spacing/>
        <w:ind w:right="0" w:firstLine="0" w:left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Визуализация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оценки взаимосвязей между признаками применялись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тепловые карты (heatmap)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диаграммы рассеяния (pairplot).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оценить структуру данных и убедиться в отсутствии сильной мультиколлинеарности между оставшимися признаками.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Масштабирование данных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моделей, чувствительных к масштабу признаков (например, KNN и нейронные сети),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MinMaxScaler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привести признаки к единому диапазону и обеспечить устойчивость моделей.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 w:firstLine="0" w:left="0"/>
        <w:jc w:val="both"/>
        <w:rPr/>
      </w:pPr>
      <w:r/>
      <w:r/>
    </w:p>
    <w:p>
      <w:pPr>
        <w:pStyle w:val="1007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2.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Практическая часть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bookmarkEnd w:id="6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1008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2.1.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Предобработка данных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7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На этапе предобработки данных была проведена нормализация числовых признаков с использованием метода Min-Max масштабирования. Это позволило привести значения всех признаков к единому масштабу в диапазоне от 0 до 1. Такая процедура необходима для корректной</w:t>
      </w:r>
      <w:r>
        <w:t xml:space="preserve"> работы большинства алгоритмов машинного обучения, особенно чувствительных к масштабу входных данных (например, алгоритмы градиентного спуска, методы на основе расстояний и нейронные сети).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t xml:space="preserve">Перед нормализацией для каждого признака были построены гистограммы распределения значений, что позволило выявить особенности распределения и потенциальные выбросы. Ниже представлены примеры таких графиков.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/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108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t xml:space="preserve">Рисунок 2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551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409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7" o:title=""/>
                <o:lock v:ext="edit" rotation="t"/>
              </v:shape>
            </w:pict>
          </mc:Fallback>
        </mc:AlternateContent>
      </w:r>
      <w:r>
        <w:t xml:space="preserve">Рисунок 3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403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512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8" o:title=""/>
                <o:lock v:ext="edit" rotation="t"/>
              </v:shape>
            </w:pict>
          </mc:Fallback>
        </mc:AlternateContent>
      </w:r>
      <w:r>
        <w:t xml:space="preserve">Рисунок 4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6306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614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9" o:title=""/>
                <o:lock v:ext="edit" rotation="t"/>
              </v:shape>
            </w:pict>
          </mc:Fallback>
        </mc:AlternateContent>
      </w:r>
      <w:r>
        <w:t xml:space="preserve">Рисунок 5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19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716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t xml:space="preserve">Рисунок 6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1638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819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7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558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921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t xml:space="preserve">Рисунок 8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35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1024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3" o:title=""/>
                <o:lock v:ext="edit" rotation="t"/>
              </v:shape>
            </w:pict>
          </mc:Fallback>
        </mc:AlternateContent>
      </w:r>
      <w:r>
        <w:t xml:space="preserve">Рисунок 9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2037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1126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4" o:title=""/>
                <o:lock v:ext="edit" rotation="t"/>
              </v:shape>
            </w:pict>
          </mc:Fallback>
        </mc:AlternateContent>
      </w:r>
      <w:r>
        <w:t xml:space="preserve">Рисунок 10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2979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1228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t xml:space="preserve">Рисунок 11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46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1331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6" o:title=""/>
                <o:lock v:ext="edit" rotation="t"/>
              </v:shape>
            </w:pict>
          </mc:Fallback>
        </mc:AlternateContent>
      </w:r>
      <w:r>
        <w:t xml:space="preserve">Рисунок 12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407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1433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7" o:title=""/>
                <o:lock v:ext="edit" rotation="t"/>
              </v:shape>
            </w:pict>
          </mc:Fallback>
        </mc:AlternateContent>
      </w:r>
      <w:r>
        <w:t xml:space="preserve">Рисунок 13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2021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1536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8" o:title=""/>
                <o:lock v:ext="edit" rotation="t"/>
              </v:shape>
            </w:pict>
          </mc:Fallback>
        </mc:AlternateContent>
      </w:r>
      <w:r>
        <w:t xml:space="preserve">Рисунок 14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После при</w:t>
      </w:r>
      <w:r>
        <w:t xml:space="preserve">менения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 </w:t>
      </w:r>
      <w:r>
        <w:t xml:space="preserve">(для нейронной сети использовал</w:t>
      </w:r>
      <w:r>
        <w:t xml:space="preserve">ся </w:t>
      </w:r>
      <w:r>
        <w:rPr>
          <w:lang w:val="en-US"/>
        </w:rPr>
        <w:t xml:space="preserve">MinMaxScaler</w:t>
      </w:r>
      <w:r>
        <w:t xml:space="preserve">) нормализации были построены аналогичные гистограммы для оценки изменения формы распределения</w:t>
      </w:r>
      <w:r>
        <w:rPr>
          <w:lang w:val="en-US"/>
        </w:rPr>
        <w:t xml:space="preserve"> (</w:t>
      </w:r>
      <w:r>
        <w:rPr>
          <w:lang w:val="ru-RU"/>
        </w:rPr>
        <w:t xml:space="preserve">результаты приведены для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)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351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638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t xml:space="preserve">Рисунок 15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638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2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280.62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t xml:space="preserve">Рисунок 16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564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843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1" o:title=""/>
                <o:lock v:ext="edit" rotation="t"/>
              </v:shape>
            </w:pict>
          </mc:Fallback>
        </mc:AlternateContent>
      </w:r>
      <w:r>
        <w:t xml:space="preserve">Рисунок 17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049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945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2" o:title=""/>
                <o:lock v:ext="edit" rotation="t"/>
              </v:shape>
            </w:pict>
          </mc:Fallback>
        </mc:AlternateContent>
      </w:r>
      <w:r>
        <w:t xml:space="preserve">Рисунок 18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99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048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3" o:title=""/>
                <o:lock v:ext="edit" rotation="t"/>
              </v:shape>
            </w:pict>
          </mc:Fallback>
        </mc:AlternateContent>
      </w:r>
      <w:r>
        <w:t xml:space="preserve">Рисунок 19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80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150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4" o:title=""/>
                <o:lock v:ext="edit" rotation="t"/>
              </v:shape>
            </w:pict>
          </mc:Fallback>
        </mc:AlternateContent>
      </w:r>
      <w:r>
        <w:t xml:space="preserve">Рисунок 20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913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2252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5" o:title=""/>
                <o:lock v:ext="edit" rotation="t"/>
              </v:shape>
            </w:pict>
          </mc:Fallback>
        </mc:AlternateContent>
      </w:r>
      <w:r>
        <w:t xml:space="preserve">Рисунок 21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575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2355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6" o:title=""/>
                <o:lock v:ext="edit" rotation="t"/>
              </v:shape>
            </w:pict>
          </mc:Fallback>
        </mc:AlternateContent>
      </w:r>
      <w:r>
        <w:t xml:space="preserve">Рисунок 22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87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2457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23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5874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2560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8" o:title=""/>
                <o:lock v:ext="edit" rotation="t"/>
              </v:shape>
            </w:pict>
          </mc:Fallback>
        </mc:AlternateContent>
      </w:r>
      <w:r>
        <w:t xml:space="preserve">Рисунок 24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623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2662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9" o:title=""/>
                <o:lock v:ext="edit" rotation="t"/>
              </v:shape>
            </w:pict>
          </mc:Fallback>
        </mc:AlternateContent>
      </w:r>
      <w:r>
        <w:t xml:space="preserve">Рисунок 25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02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276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0" o:title=""/>
                <o:lock v:ext="edit" rotation="t"/>
              </v:shape>
            </w:pict>
          </mc:Fallback>
        </mc:AlternateContent>
      </w:r>
      <w:r>
        <w:t xml:space="preserve">Рисунок 26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715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86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1" o:title=""/>
                <o:lock v:ext="edit" rotation="t"/>
              </v:shape>
            </w:pict>
          </mc:Fallback>
        </mc:AlternateContent>
      </w:r>
      <w:r>
        <w:t xml:space="preserve">Рисунок 28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Также была сформирована таблица, содержащая минимальные и максимальные значения признаков до и после нормализации. Эта таблица представлена ниже.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t xml:space="preserve">Таблица 2 – </w:t>
      </w:r>
      <w:r>
        <w:rPr>
          <w:highlight w:val="none"/>
        </w:rPr>
        <w:t xml:space="preserve">Сравнение распределения признаков до и после нормализации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Соотношение матрица-наполнитель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0.389403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5.591742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-2.783776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2.915695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Плотность, кг/м3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1731.764635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2207.773481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-3.310622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3.148712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2.436909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1911.536477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-2.234332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3.549589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Количество отвердителя, м.%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17.740275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198.953207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-3.282308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3.125033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Содержание эпоксидных групп,%_2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14.254985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-3.321825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4.471955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Температура вспышки, С_2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413.273418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-4.542215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3.112932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Поверхностная плотность,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0.603740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1399.542362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-1.714677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3.260615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 при растяжении,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 64.054061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82.682051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-2.975023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3.000355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Прочность при растяжении, МПа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1036.856605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3848.436732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-2.946217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2.846190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Потребление смолы,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33.803026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414.590628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-3.092116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3.285517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Угол нашивки, град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90.000000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-0.983518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1.016758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Шаг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14.440522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-2.692680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2.943275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103.988901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-4.629749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3.793863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Дополнительно, на этапе предобработки были удалены выбросы с использованием метода межквартильного размаха (IQR). Это позволило исключить аномальные значения, которые могли бы исказить обучение моделей.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Таким образом, предобработка обеспечила корректное масштабирование признаков и очистку данных от выбросов, что является важным этапом перед построением моделей машинного обучения.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2.2.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и обучение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8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решения задачи прогнозирования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модуля упругости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были выбраны и обучены несколько моделей регрессии. Каждая из них была протестирована как отдельно, так и в составе ансамбля. В качестве целевых переменных выступали два параметра: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Модуль упругости при растяжении, ГПа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Прочность при растяжении, МПа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 ходе работы были протестированы следующие модели: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ElasticNet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линейная модель с L1 и L2-регуляризацией.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Random Forest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ансамблевый метод на основе решающих деревьев.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K-Nearest Neighbors Regressor (KNN)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метод на основе ближайших соседей.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Linear Regression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базовая линейная модель, использовавшаяся как мета-регрессор в стекинге.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4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Stacking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ансамблевая модель, объединяющая предсказания нескольких регрессоров с последующим обучением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</w:t>
      </w:r>
      <w:r>
        <w:t xml:space="preserve">одробное сравнение качества работы всех моделей приведено в </w:t>
      </w:r>
      <w:hyperlink r:id="rId42" w:tooltip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w:history="1">
        <w:r>
          <w:t xml:space="preserve">таблице сравнения регрессионных методов</w:t>
        </w:r>
      </w:hyperlink>
      <w:r>
        <w:t xml:space="preserve"> </w:t>
      </w:r>
      <w:r>
        <w:t xml:space="preserve">в разделе </w:t>
      </w:r>
      <w:r>
        <w:t xml:space="preserve">1.2</w:t>
      </w:r>
      <w:r>
        <w:t xml:space="preserve">. По результатам анализа наилучшие показатели по метрике </w:t>
      </w:r>
      <w:r>
        <w:t xml:space="preserve">R²</w:t>
      </w:r>
      <w:r>
        <w:t xml:space="preserve"> и </w:t>
      </w:r>
      <w:r>
        <w:t xml:space="preserve">RMSE</w:t>
      </w:r>
      <w:r>
        <w:t xml:space="preserve"> были достигнуты с использованием ансамблевой стекинг-модели, в которую входили Random Forest, KNN и ElasticNet.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Все модели обучались на обучающей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 от общего объема данных), с последующим тестированием на отложенной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0%). Использовалась кросс-валидация и масштабирование признаков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80516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521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20129" cy="380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1.90pt;height:299.6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  <w:r>
        <w:t xml:space="preserve">Рисунок 29 – Фрагмент кода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2.3.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Тестирование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9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оценки качества обученной модели был проведён анализ ошибок на тренировочной и тестовой выборке. Основными метриками, использованными для оценки точности прогноза, стали: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Mean Squared Error (MSE) — среднеквадратичная ошибка;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(коэффициент детерминации) — отражает долю объяснённой дисперсии;</w:t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  <w:lang w:val="en-US"/>
        </w:rPr>
        <w:t xml:space="preserve">MAE – </w:t>
      </w:r>
      <w:r>
        <w:rPr>
          <w:highlight w:val="none"/>
          <w:lang w:val="ru-RU"/>
        </w:rPr>
        <w:t xml:space="preserve">средняя абсолютная ошибка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74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MAPE — средняя абсолютная процентная ошибка (дополнительно для лучшей интерпретируемости).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w:t xml:space="preserve">Таблица 3 – </w:t>
      </w:r>
      <w:r>
        <w:rPr>
          <w:highlight w:val="none"/>
          <w:lang w:val="ru-RU"/>
        </w:rPr>
        <w:t xml:space="preserve">Оценки точности прогнозирования показателей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rPr>
                <w:lang w:val="ru-RU"/>
              </w:rPr>
              <w:t xml:space="preserve">Показатель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Модуль упругости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Прочность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MSE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9.13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229322.27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2.44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371.10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MAPE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3.32%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16.95%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R²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0.061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0.045</w:t>
            </w:r>
            <w:r/>
          </w:p>
        </w:tc>
      </w:tr>
    </w:tbl>
    <w:p>
      <w:pPr>
        <w:pBdr/>
        <w:spacing/>
        <w:ind w:firstLine="0" w:left="2127"/>
        <w:jc w:val="both"/>
        <w:rPr/>
      </w:pPr>
      <w:r/>
      <w:r/>
    </w:p>
    <w:p>
      <w:pPr>
        <w:suppressLineNumbers w:val="false"/>
        <w:pBdr/>
        <w:spacing/>
        <w:ind w:firstLine="709" w:left="0"/>
        <w:contextualSpacing w:val="false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t xml:space="preserve">Полученные значения R² показывают, что модель слабо объясняет дисперсию в целевых переменных. Это может быть связано с высокой сложностью данных, наличием скрытых факторов или ограниченным размером выборки. Тем не менее, лучшую производительность продемонс</w:t>
      </w:r>
      <w:r>
        <w:t xml:space="preserve">трировал ансамбль на базе стекинга, что подтверждает выбор данной модели в качестве финальной.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 w:firstLine="0" w:left="2127"/>
        <w:jc w:val="both"/>
        <w:rPr>
          <w:bCs/>
          <w:i/>
        </w:rPr>
      </w:pPr>
      <w:r>
        <w:rPr>
          <w:i/>
          <w:iCs/>
          <w:highlight w:val="none"/>
        </w:rPr>
      </w:r>
      <w:r>
        <w:rPr>
          <w:bCs/>
          <w:i/>
        </w:rPr>
      </w:r>
      <w:r>
        <w:rPr>
          <w:bCs/>
          <w:i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2.4.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Написать нейронную сеть, которая будет рекомендовать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соотношение матриц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ы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0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задачи прогнозирования соотношения матрица-наполнитель была разработана и обучена нейронная сеть. Цель — предоставить инструмент, способный рекомендовать оптимальное значение данного параметра на основе других технологических и физико-химических характ</w:t>
      </w:r>
      <w:r>
        <w:t xml:space="preserve">еристик материала.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Выбор архитектуры: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Модель представляет собой полносвязную нейросеть (Sequential) с несколькими скрытыми слоями. В качестве функции активации для скрытых слоёв использовалась tanh, что хорошо подходит для нормализованных данных. Выходной слой — линейный (один нейрон), так как</w:t>
      </w:r>
      <w:r>
        <w:t xml:space="preserve"> решается задача регрессии.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Структура сети: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Входной слой: количество признаков после отбора;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Скрытые слои: 128 → 64 → 32 нейрона с активацией tanh;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Выходной слой: 1 нейрон (предсказание значения соотношения);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Оптимизатор: RMSprop;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Функция потерь: среднеквадратичная ошибка (MSE);</w:t>
      </w:r>
      <w:r/>
    </w:p>
    <w:p>
      <w:pPr>
        <w:pStyle w:val="1074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Регуляризация переобучения: EarlyStopping по валидационным данным с параметром patience = 50.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Предобработка данных: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Удаление выбросов с использованием межквартильного размаха (IQR);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Масштабирование признаков с помощью MinMaxScaler (в интервал [0, 1]);</w:t>
      </w:r>
      <w:r/>
    </w:p>
    <w:p>
      <w:pPr>
        <w:pStyle w:val="1074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Исключение целевого признака и некоторых коррелированных признаков (Плотность, Плотность нашивки) из набора входных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jc w:val="both"/>
        <w:rPr/>
      </w:pPr>
      <w:r>
        <w:t xml:space="preserve">Таблица 4 – </w:t>
      </w:r>
      <w:r>
        <w:rPr>
          <w:highlight w:val="none"/>
          <w:lang w:val="ru-RU"/>
        </w:rPr>
        <w:t xml:space="preserve">Оценки точности прогнозирования целевого значения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Метрика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Значение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MSE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0.887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0.779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MAPE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31.97%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R²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0.009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оказался очень низким, что указывает на слабую способность модели объяснять вариацию целевого признака. Это может быть связано с высокой шумностью данных, наличием латентных переменных, влияющих на результат, или сложной зависимостью, не поддающейся апп</w:t>
      </w:r>
      <w:r>
        <w:t xml:space="preserve">роксимации текущей архитектурой.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Тем не менее, модель продемонстрировала разумную интерполяцию для новых данных.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w:t xml:space="preserve">Таблица 5 – </w:t>
      </w:r>
      <w:r>
        <w:t xml:space="preserve">Сравнения реальных и прогнозированных значений </w:t>
      </w:r>
      <w:r>
        <w:rPr>
          <w:highlight w:val="none"/>
          <w:lang w:val="ru-RU"/>
        </w:rPr>
        <w:t xml:space="preserve">целевой переменной</w:t>
      </w:r>
      <w:r/>
    </w:p>
    <w:tbl>
      <w:tblPr>
        <w:tblStyle w:val="106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Истинное значение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Предсказание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1.857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2.540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4.194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3.146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3.306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3.152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2.710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2.969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  <w:lang w:val="ru-RU"/>
        </w:rPr>
      </w:r>
      <w:r>
        <w:t xml:space="preserve">Несмотря на низкое значение R², нейросеть обучена и может использоваться в качестве вспомогательного инструмента для предварительной оценки или ранжирования возможных значений соотношения матрицы, особенно в случае отсутствия лабораторных данных. Однако дл</w:t>
      </w:r>
      <w:r>
        <w:t xml:space="preserve">я производственного применения требуется доработка модели, возможно с использованием дополнительных признаков или другой архитектуры.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2.5.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приложения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1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jc w:val="both"/>
        <w:rPr/>
      </w:pPr>
      <w:r/>
      <w:r/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Для практического использования обученных моделей было разработано простое веб-приложение на основе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Flask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лёгкого фреймворка для Python. Приложение реализует два ключевых функционала: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Прогнозирование прочностных характеристик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(модуль упругости и прочность при растяжении) на основе входных параметров с использованием модели стекинга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stacking_pipeline.pkl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Рекомендация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на основе физических и технологических параметров материала с помощью нейросети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neiro_model.h5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Запустить приложение с помощью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Docker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перейти в директорию с веб-приложением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cd flask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создать докер образ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build -t flask-ml-app 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запустить докер контейнер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run -p 5000:5000 flask-ml-app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перейти в браузере по адресу: </w:t>
      </w:r>
      <w:hyperlink r:id="rId44" w:tooltip="http://localhost:5000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http://localhost:5000</w:t>
        </w:r>
      </w:hyperlink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выбрать нужную форму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ru-RU"/>
        </w:rPr>
        <w:t xml:space="preserve">«Перейти к предсказанию с помощью машинного обучения»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получения модуля упругости и прочности и «Перейти к предсказанию с помощью нейросети»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рекомендации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ввести значения параметров;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нажать кнопку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"Предсказать"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и получить результат.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</w:p>
    <w:p>
      <w:pPr>
        <w:pStyle w:val="1008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2.6.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Создание удаленного репозитория и загрузка результатов работы на него.</w:t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bookmarkEnd w:id="12"/>
      <w:r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i w:val="0"/>
          <w:iCs w:val="0"/>
          <w:color w:val="000000"/>
          <w:sz w:val="28"/>
          <w:szCs w:val="32"/>
        </w:rPr>
        <w:t xml:space="preserve">Для хранения исходного кода проекта, обученных моделей и документации был создан удалённый репозиторий на GitHub. Это позволяет обеспечить надёжное хранение, версионность и возможность совместной работы или демонстрации результатов.</w:t>
      </w:r>
      <w:r>
        <w:rPr>
          <w:bCs w:val="0"/>
          <w:i w:val="0"/>
          <w:sz w:val="28"/>
          <w:szCs w:val="32"/>
        </w:rPr>
      </w:r>
      <w:r>
        <w:rPr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Страница слушателя: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4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</w:r>
      <w:r>
        <w:rPr>
          <w:b w:val="0"/>
          <w:bCs w:val="0"/>
          <w:i w:val="0"/>
          <w:iCs w:val="0"/>
          <w:sz w:val="28"/>
          <w:szCs w:val="28"/>
        </w:rPr>
        <w:t xml:space="preserve">https://github.com/Sergeev-IT</w:t>
      </w:r>
      <w:r>
        <w:rPr>
          <w:b w:val="0"/>
          <w:bCs w:val="0"/>
          <w:i w:val="0"/>
          <w:sz w:val="24"/>
          <w:szCs w:val="28"/>
        </w:rPr>
      </w:r>
      <w:r>
        <w:rPr>
          <w:b w:val="0"/>
          <w:bCs w:val="0"/>
          <w:i w:val="0"/>
          <w:sz w:val="24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Репозиторий проекта: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Cs w:val="0"/>
          <w:i w:val="0"/>
          <w:sz w:val="24"/>
          <w:szCs w:val="28"/>
        </w:rPr>
      </w:pPr>
      <w:r>
        <w:rPr>
          <w:i w:val="0"/>
          <w:iCs w:val="0"/>
          <w:sz w:val="28"/>
          <w:szCs w:val="28"/>
        </w:rPr>
      </w:r>
      <w:r>
        <w:rPr>
          <w:i w:val="0"/>
          <w:iCs w:val="0"/>
          <w:sz w:val="28"/>
          <w:szCs w:val="28"/>
        </w:rPr>
        <w:t xml:space="preserve">https://github.com/Sergeev-IT/diplom</w:t>
      </w:r>
      <w:r>
        <w:rPr>
          <w:bCs w:val="0"/>
          <w:i w:val="0"/>
          <w:sz w:val="24"/>
          <w:szCs w:val="28"/>
        </w:rPr>
      </w:r>
      <w:r>
        <w:rPr>
          <w:bCs w:val="0"/>
          <w:i w:val="0"/>
          <w:sz w:val="24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Заключение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bookmarkEnd w:id="13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рамках выпускной квалификационной работы была разработана интеллектуальная система прогнозирования и рекомендаций, направленная на повышение точности оценки механических свойств композиционных материалов. Основной целью исследования стало построение моде</w:t>
      </w:r>
      <w:r>
        <w:t xml:space="preserve">лей, способных предсказывать такие характеристики, как модуль упругости и прочность при растяжении, а также рекомендовать оптимальное соотношение матрица-наполнитель.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процессе работы были решены следующие задачи: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Проведена предварительная обработка и анализ данных, включая удаление выбросов и отбор признаков;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Построена ансамблевая модель стекинга, включающая несколько регрессионных алгоритмов, для предсказания механических свойств;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Разработана нейронная сеть для индивидуального прогнозирования рекомендуемого соотношения компонентов;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Разработано веб-приложение на Flask, интегрирующее обе модели и предоставляющее простой интерфейс для пользователя;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Организовано развёртывание приложения с помощью Docker, что обеспечивает переносимость и удобство использования;</w:t>
      </w:r>
      <w:r/>
    </w:p>
    <w:p>
      <w:pPr>
        <w:pStyle w:val="1074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Создан удалённый репозиторий для хранения исходного кода, моделей и документации.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Несмотря на то, что достигнутый уровень точности (в частности, по метрике R²) остаётся ограниченным, предложенный подход демонстрирует перспективность применения методов машинного обучения в задачах материаловедения. Полученные результаты подтверждают возм</w:t>
      </w:r>
      <w:r>
        <w:t xml:space="preserve">ожность автоматизации аналитических задач в инженерной практике и служат отправной точкой для дальнейших улучшений, таких как расширение обучающей выборки, использование более сложных моделей или привлечение дополнительных признаков.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поставленные цели были достигнуты, а практическая реализация системы делает возможным её дальнейшее применение и развитие в рамках промышленных или научно-исследовательских задач.</w:t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7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Библиографический список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  <w:bookmarkEnd w:id="14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Законы. Федеральный закон от 27 июля 2006 г. № 149-ФЗ «Об информации, информационных технологиях и о защите информации» // Собрание законодательства РФ. – 2006. – № 31 (ч. 1). – Ст. 3448.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Указы Президента. Указ Президента РФ от 10 октября 2019 г. № 490 «О развитии искусственного интеллекта в Российской Федерации» // Собрание законодательства РФ. – 2019. – № 42. – Ст. 5997.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Постановления Правительства. Постановление Правительства РФ от 3 марта 2017 г. № 223 «О государственной программе Российской Федерации "Цифровая экономика Российской Федерации"» // Собрание законодательства РФ. – 2017. – № 10.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– Ст. 1496.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Практическое машинное обучение с помощью Scikit-Learn, Keras и TensorFlow  / А. Герон. – М. : ДМК Пресс, 2020. – 800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c.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Гудфеллоу, И., Бенджио, Й., Курвилль, А. Глубокое обучение  / И. Гудфеллоу, Й. Бенджио, А. Курвилль. – М. : ДМК Пресс, 2018.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Маккинни, У. Python для анализа данных  / У. Маккинни. – М. : ДМК Пресс, 2018. – 544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ВандерПлас, Дж. Python Data Science Handbook  / Дж. ВандерПлас. – М. : ДМК Пресс, 2017. – 548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Брюс, П., Брюс, А. Практическая статистика для специалистов по данным  / П. Брюс, А. Брюс. – М. : ДМК Пресс, 2018.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Грус, Дж. Data Science с нуля  / Дж. Грус. – М. : ДМК Пресс, 2017. – 330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Шалев-Шварц, Ш., Бен-Давид, Ш. Понимание машинного обучения  / Ш. Шалев-Шварц, Ш. Бен-Давид. – М. : ДМК Пресс, 2016. – 410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Спигельхалтер, Д. Искусство статистики: Как извлекать смысл из данных  / Д. Спигельхалтер. – М. : Альпина Паблишер, 2020. – 352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Провост, Ф., Фосетт, Т. Data Science для бизнеса  / Ф. Провост, Т. Фосетт. – М. : ДМК Пресс, 2016. – 432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Чолле, Ф. Глубокое обучение с использованием Python  / Ф. Чолле. – М. : ДМК Пресс, 2018. – 384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Машинное обучение на практике  / А. Герон. – М. : ДМК Пресс, 2019.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Вилке, К. Основы визуализации данных  / К. Вилке. – М. : ДМК Пресс, 2020.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Бурков, А. Машинное обучение за 100 страниц  / А. Бурков. – М. : ДМК Пресс, 2019. – 160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Робинсон, Э., Нолис, Ж. Построение карьеры в Data Science  / Э. Робинсон, Ж. Нолис. – М. : ДМК Пресс, 2020. – 350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Пэнг, Р., Мацуи, Э. Искусство Data Science  / Р. Пэнг, Э. Мацуи. – М. : ДМК Пресс, 2017. – 150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Хернан, М. А., Хсу, Дж., Хили, Б. Data Science как вторая попытка науки в причинном выводе  / М. А. Хернан, Дж. Хсу, Б. Хили // arXiv preprint arXiv:1804.10846. – 2018. – 20 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Карпатне, А. и др. Теория-ориентированная Data Science: новый подход к научным открытиям из данных  / А. Карпатне и др. // arXiv preprint arXiv:1612.08544. – 2016. – 15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всесторонний обзор  / Л. Цао // arXiv preprint arXiv:2007.03606. – 2020. – 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вызовы и направления  / Л. Цао // arXiv preprint arXiv:2006.16966. – 2020. – 25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Википедия. Data Science [Электронный ресурс]. – Режим доступа: </w:t>
      </w:r>
      <w:hyperlink r:id="rId45" w:tooltip="https://ru.wikipedia.org/wiki/Data_science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https://ru.wikipedia.org/wiki/Data_science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Scikit-learn: машинное обучение в Python [Электронный ресурс]. – Режим доступа: </w:t>
      </w:r>
      <w:hyperlink r:id="rId46" w:tooltip="https://scikit-learn.org/stable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https://scikit-learn.org/stable/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Kaggle. Платформа для соревнований и обучения по Data Science [Электронный ресурс]. – Режим доступа: </w:t>
      </w:r>
      <w:hyperlink r:id="rId47" w:tooltip="https://www.kaggle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https://www.kaggle.com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TensorFlow. Библиотека машинного обучения с открытым исходным кодом [Электронный ресурс]. – Режим доступа: </w:t>
      </w:r>
      <w:hyperlink r:id="rId48" w:tooltip="https://www.tensorflow.org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https://www.tensorflow.org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PyTorch. Глубокое обучение для всех [Электронный ресурс]. – Режим доступа: </w:t>
      </w:r>
      <w:hyperlink r:id="rId49" w:tooltip="https://pytorch.org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https://pytorch.org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Towards Data Science – Публикации по Data Science, ML и AI [Электронный ресурс]. – Режим доступа: </w:t>
      </w:r>
      <w:hyperlink r:id="rId50" w:tooltip="https://towardsdatascience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https://towardsdatascience.com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GitHub – Репозитории и проекты по Data Science [Электронный ресурс]. – Режим доступа: </w:t>
      </w:r>
      <w:hyperlink r:id="rId51" w:tooltip="https://github.com/topics/data-science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https://github.com/topics/data-science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03.05.2025)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Google AI Blog – Исследования в области искусственного интеллекта [Электронный ресурс]. – Режим доступа: https://ai.googleblog.com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Medium – Раздел Data Science [Электронный ресурс]. – Режим доступа: https://medium.com/topic/data-science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Data Science Central – Сообщество и статьи по аналитике и данным [Электронный ресурс]. – Режим доступа: </w:t>
      </w:r>
      <w:hyperlink r:id="rId52" w:tooltip="https://www.datasciencecentral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https://www.datasciencecentral.com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Analytics Vidhya – Платформа по обучению и новостям Data Science [Электронный ресурс]. – Режим доступа: </w:t>
      </w:r>
      <w:hyperlink r:id="rId53" w:tooltip="https://www.analyticsvidhya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https://www.analyticsvidhya.com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Machine Learning Mastery – Практические руководства по ML [Электронный ресурс] / Дж. Браунли. – Режим доступа: </w:t>
      </w:r>
      <w:hyperlink r:id="rId54" w:tooltip="https://machinelearningmastery.com/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https://machinelearningmastery.com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06.05.2025)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4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OpenAI. Исследования и инструменты в области ИИ [Электронный ресурс]. – Режим доступа: </w:t>
      </w:r>
      <w:hyperlink r:id="rId55" w:tooltip="https://openai.com/research" w:history="1">
        <w:r>
          <w:rPr>
            <w:rStyle w:val="1075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https://openai.com/research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7.05.2025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portrait" w:w="11906"/>
      <w:pgMar w:top="1134" w:right="567" w:bottom="850" w:left="1701" w:header="658" w:footer="425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5"/>
      <w:pBdr/>
      <w:spacing/>
      <w:ind/>
      <w:jc w:val="center"/>
      <w:rPr>
        <w:color w:val="000000" w:themeColor="text1"/>
      </w:rPr>
    </w:pPr>
    <w:fldSimple w:instr="PAGE \* MERGEFORMAT">
      <w:r>
        <w:rPr>
          <w:color w:val="000000" w:themeColor="text1"/>
        </w:rPr>
        <w:t xml:space="preserve">1</w:t>
      </w:r>
    </w:fldSimple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  <w:p>
    <w:pPr>
      <w:pStyle w:val="1065"/>
      <w:pBdr/>
      <w:spacing/>
      <w:ind/>
      <w:rPr>
        <w:color w:val="000000" w:themeColor="text1"/>
      </w:rPr>
    </w:pPr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0"/>
      </w:pPr>
      <w:rPr/>
      <w:start w:val="1"/>
      <w:suff w:val="tab"/>
    </w:lvl>
  </w:abstractNum>
  <w:abstractNum w:abstractNumId="9">
    <w:lvl w:ilvl="0">
      <w:isLgl w:val="false"/>
      <w:lvlJc w:val="left"/>
      <w:lvlText w:val="2.%1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ourier New" w:hAnsi="Courier New" w:eastAsia="Courier New" w:cs="Courier New"/>
        <w:color w:val="000000"/>
        <w:sz w:val="20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7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9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0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1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2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3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4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0"/>
  </w:num>
  <w:num w:numId="2">
    <w:abstractNumId w:val="18"/>
  </w:num>
  <w:num w:numId="3">
    <w:abstractNumId w:val="13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4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5">
    <w:abstractNumId w:val="1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6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7">
    <w:abstractNumId w:val="7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8">
    <w:abstractNumId w:val="20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9">
    <w:abstractNumId w:val="19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9"/>
  </w:num>
  <w:num w:numId="15">
    <w:abstractNumId w:val="8"/>
  </w:num>
  <w:num w:numId="16">
    <w:abstractNumId w:val="17"/>
  </w:num>
  <w:num w:numId="17">
    <w:abstractNumId w:val="0"/>
  </w:num>
  <w:num w:numId="18">
    <w:abstractNumId w:val="21"/>
  </w:num>
  <w:num w:numId="19">
    <w:abstractNumId w:val="6"/>
  </w:num>
  <w:num w:numId="20">
    <w:abstractNumId w:val="16"/>
  </w:num>
  <w:num w:numId="21">
    <w:abstractNumId w:val="5"/>
  </w:num>
  <w:num w:numId="22">
    <w:abstractNumId w:val="22"/>
  </w:num>
  <w:num w:numId="23">
    <w:abstractNumId w:val="15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82">
    <w:name w:val="Table Grid Light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1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Plain Table 2"/>
    <w:basedOn w:val="10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Plain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Plain Table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Plain Table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1 Light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1 Light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1 Light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1 Light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2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2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2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2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3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3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3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3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1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2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4 - Accent 3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4 - Accent 4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4 - Accent 5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4 - Accent 6"/>
    <w:basedOn w:val="10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5 Dark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5 Dark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5 Dark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5 Dark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6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6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6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6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7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7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7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7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1 Light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1 Light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1 Light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1 Light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2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2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2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2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3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3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3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3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4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4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4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4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5 Dark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5 Dark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5 Dark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5 Dark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6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6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6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6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7 Colorful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7 Colorful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7 Colorful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7 Colorful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1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2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ned - Accent 3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ned - Accent 4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ned - Accent 5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ned - Accent 6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1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2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 &amp; Lined - Accent 3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 &amp; Lined - Accent 4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&amp; Lined - Accent 5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&amp; Lined - Accent 6"/>
    <w:basedOn w:val="10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1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2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- Accent 3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Bordered - Accent 4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Bordered - Accent 5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Bordered - Accent 6"/>
    <w:basedOn w:val="10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7">
    <w:name w:val="Heading 1"/>
    <w:basedOn w:val="1057"/>
    <w:next w:val="1057"/>
    <w:link w:val="101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008">
    <w:name w:val="Heading 2"/>
    <w:basedOn w:val="1057"/>
    <w:next w:val="1057"/>
    <w:link w:val="101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009">
    <w:name w:val="Heading 3"/>
    <w:basedOn w:val="1057"/>
    <w:next w:val="1057"/>
    <w:link w:val="10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010">
    <w:name w:val="Heading 4"/>
    <w:basedOn w:val="1057"/>
    <w:next w:val="1057"/>
    <w:link w:val="101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011">
    <w:name w:val="Heading 5"/>
    <w:basedOn w:val="1057"/>
    <w:next w:val="1057"/>
    <w:link w:val="102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012">
    <w:name w:val="Heading 6"/>
    <w:basedOn w:val="1057"/>
    <w:next w:val="1057"/>
    <w:link w:val="102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13">
    <w:name w:val="Heading 7"/>
    <w:basedOn w:val="1057"/>
    <w:next w:val="1057"/>
    <w:link w:val="102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14">
    <w:name w:val="Heading 8"/>
    <w:basedOn w:val="1057"/>
    <w:next w:val="1057"/>
    <w:link w:val="102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15">
    <w:name w:val="Heading 9"/>
    <w:basedOn w:val="1057"/>
    <w:next w:val="1057"/>
    <w:link w:val="102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16">
    <w:name w:val="Heading 1 Char"/>
    <w:basedOn w:val="1058"/>
    <w:link w:val="10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17">
    <w:name w:val="Heading 2 Char"/>
    <w:basedOn w:val="1058"/>
    <w:link w:val="100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18">
    <w:name w:val="Heading 3 Char"/>
    <w:basedOn w:val="1058"/>
    <w:link w:val="10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19">
    <w:name w:val="Heading 4 Char"/>
    <w:basedOn w:val="1058"/>
    <w:link w:val="101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20">
    <w:name w:val="Heading 5 Char"/>
    <w:basedOn w:val="1058"/>
    <w:link w:val="10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21">
    <w:name w:val="Heading 6 Char"/>
    <w:basedOn w:val="1058"/>
    <w:link w:val="101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22">
    <w:name w:val="Heading 7 Char"/>
    <w:basedOn w:val="1058"/>
    <w:link w:val="101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23">
    <w:name w:val="Heading 8 Char"/>
    <w:basedOn w:val="1058"/>
    <w:link w:val="101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4">
    <w:name w:val="Heading 9 Char"/>
    <w:basedOn w:val="1058"/>
    <w:link w:val="10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25">
    <w:name w:val="Title"/>
    <w:basedOn w:val="1057"/>
    <w:next w:val="1057"/>
    <w:link w:val="102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26">
    <w:name w:val="Title Char"/>
    <w:basedOn w:val="105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27">
    <w:name w:val="Subtitle"/>
    <w:basedOn w:val="1057"/>
    <w:next w:val="1057"/>
    <w:link w:val="102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028">
    <w:name w:val="Subtitle Char"/>
    <w:basedOn w:val="105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9">
    <w:name w:val="Quote"/>
    <w:basedOn w:val="1057"/>
    <w:next w:val="1057"/>
    <w:link w:val="103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30">
    <w:name w:val="Quote Char"/>
    <w:basedOn w:val="105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31">
    <w:name w:val="Intense Emphasis"/>
    <w:basedOn w:val="105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32">
    <w:name w:val="Intense Quote"/>
    <w:basedOn w:val="1057"/>
    <w:next w:val="1057"/>
    <w:link w:val="103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33">
    <w:name w:val="Intense Quote Char"/>
    <w:basedOn w:val="1058"/>
    <w:link w:val="103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34">
    <w:name w:val="Intense Reference"/>
    <w:basedOn w:val="105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35">
    <w:name w:val="Subtle Emphasis"/>
    <w:basedOn w:val="105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6">
    <w:name w:val="Emphasis"/>
    <w:basedOn w:val="1058"/>
    <w:uiPriority w:val="20"/>
    <w:qFormat/>
    <w:pPr>
      <w:pBdr/>
      <w:spacing/>
      <w:ind/>
    </w:pPr>
    <w:rPr>
      <w:i/>
      <w:iCs/>
    </w:rPr>
  </w:style>
  <w:style w:type="character" w:styleId="1037">
    <w:name w:val="Strong"/>
    <w:basedOn w:val="1058"/>
    <w:uiPriority w:val="22"/>
    <w:qFormat/>
    <w:pPr>
      <w:pBdr/>
      <w:spacing/>
      <w:ind/>
    </w:pPr>
    <w:rPr>
      <w:b/>
      <w:bCs/>
    </w:rPr>
  </w:style>
  <w:style w:type="character" w:styleId="1038">
    <w:name w:val="Subtle Reference"/>
    <w:basedOn w:val="105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9">
    <w:name w:val="Book Title"/>
    <w:basedOn w:val="105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40">
    <w:name w:val="Header Char"/>
    <w:basedOn w:val="1058"/>
    <w:link w:val="1063"/>
    <w:uiPriority w:val="99"/>
    <w:pPr>
      <w:pBdr/>
      <w:spacing/>
      <w:ind/>
    </w:pPr>
  </w:style>
  <w:style w:type="character" w:styleId="1041">
    <w:name w:val="Footer Char"/>
    <w:basedOn w:val="1058"/>
    <w:link w:val="1065"/>
    <w:uiPriority w:val="99"/>
    <w:pPr>
      <w:pBdr/>
      <w:spacing/>
      <w:ind/>
    </w:pPr>
  </w:style>
  <w:style w:type="paragraph" w:styleId="1042">
    <w:name w:val="Caption"/>
    <w:basedOn w:val="1057"/>
    <w:next w:val="105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1043">
    <w:name w:val="Footnote Text Char"/>
    <w:basedOn w:val="1058"/>
    <w:link w:val="1067"/>
    <w:uiPriority w:val="99"/>
    <w:semiHidden/>
    <w:pPr>
      <w:pBdr/>
      <w:spacing/>
      <w:ind/>
    </w:pPr>
    <w:rPr>
      <w:sz w:val="20"/>
      <w:szCs w:val="20"/>
    </w:rPr>
  </w:style>
  <w:style w:type="character" w:styleId="1044">
    <w:name w:val="Endnote Text Char"/>
    <w:basedOn w:val="1058"/>
    <w:link w:val="1070"/>
    <w:uiPriority w:val="99"/>
    <w:semiHidden/>
    <w:pPr>
      <w:pBdr/>
      <w:spacing/>
      <w:ind/>
    </w:pPr>
    <w:rPr>
      <w:sz w:val="20"/>
      <w:szCs w:val="20"/>
    </w:rPr>
  </w:style>
  <w:style w:type="character" w:styleId="1045">
    <w:name w:val="FollowedHyperlink"/>
    <w:basedOn w:val="105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46">
    <w:name w:val="toc 1"/>
    <w:basedOn w:val="1057"/>
    <w:next w:val="1057"/>
    <w:uiPriority w:val="39"/>
    <w:unhideWhenUsed/>
    <w:pPr>
      <w:pBdr/>
      <w:spacing w:after="100"/>
      <w:ind/>
    </w:pPr>
  </w:style>
  <w:style w:type="paragraph" w:styleId="1047">
    <w:name w:val="toc 2"/>
    <w:basedOn w:val="1057"/>
    <w:next w:val="1057"/>
    <w:uiPriority w:val="39"/>
    <w:unhideWhenUsed/>
    <w:pPr>
      <w:pBdr/>
      <w:spacing w:after="100"/>
      <w:ind w:left="220"/>
    </w:pPr>
  </w:style>
  <w:style w:type="paragraph" w:styleId="1048">
    <w:name w:val="toc 3"/>
    <w:basedOn w:val="1057"/>
    <w:next w:val="1057"/>
    <w:uiPriority w:val="39"/>
    <w:unhideWhenUsed/>
    <w:pPr>
      <w:pBdr/>
      <w:spacing w:after="100"/>
      <w:ind w:left="440"/>
    </w:pPr>
  </w:style>
  <w:style w:type="paragraph" w:styleId="1049">
    <w:name w:val="toc 4"/>
    <w:basedOn w:val="1057"/>
    <w:next w:val="1057"/>
    <w:uiPriority w:val="39"/>
    <w:unhideWhenUsed/>
    <w:pPr>
      <w:pBdr/>
      <w:spacing w:after="100"/>
      <w:ind w:left="660"/>
    </w:pPr>
  </w:style>
  <w:style w:type="paragraph" w:styleId="1050">
    <w:name w:val="toc 5"/>
    <w:basedOn w:val="1057"/>
    <w:next w:val="1057"/>
    <w:uiPriority w:val="39"/>
    <w:unhideWhenUsed/>
    <w:pPr>
      <w:pBdr/>
      <w:spacing w:after="100"/>
      <w:ind w:left="880"/>
    </w:pPr>
  </w:style>
  <w:style w:type="paragraph" w:styleId="1051">
    <w:name w:val="toc 6"/>
    <w:basedOn w:val="1057"/>
    <w:next w:val="1057"/>
    <w:uiPriority w:val="39"/>
    <w:unhideWhenUsed/>
    <w:pPr>
      <w:pBdr/>
      <w:spacing w:after="100"/>
      <w:ind w:left="1100"/>
    </w:pPr>
  </w:style>
  <w:style w:type="paragraph" w:styleId="1052">
    <w:name w:val="toc 7"/>
    <w:basedOn w:val="1057"/>
    <w:next w:val="1057"/>
    <w:uiPriority w:val="39"/>
    <w:unhideWhenUsed/>
    <w:pPr>
      <w:pBdr/>
      <w:spacing w:after="100"/>
      <w:ind w:left="1320"/>
    </w:pPr>
  </w:style>
  <w:style w:type="paragraph" w:styleId="1053">
    <w:name w:val="toc 8"/>
    <w:basedOn w:val="1057"/>
    <w:next w:val="1057"/>
    <w:uiPriority w:val="39"/>
    <w:unhideWhenUsed/>
    <w:pPr>
      <w:pBdr/>
      <w:spacing w:after="100"/>
      <w:ind w:left="1540"/>
    </w:pPr>
  </w:style>
  <w:style w:type="paragraph" w:styleId="1054">
    <w:name w:val="toc 9"/>
    <w:basedOn w:val="1057"/>
    <w:next w:val="1057"/>
    <w:uiPriority w:val="39"/>
    <w:unhideWhenUsed/>
    <w:pPr>
      <w:pBdr/>
      <w:spacing w:after="100"/>
      <w:ind w:left="1760"/>
    </w:pPr>
  </w:style>
  <w:style w:type="paragraph" w:styleId="1055">
    <w:name w:val="TOC Heading"/>
    <w:uiPriority w:val="39"/>
    <w:unhideWhenUsed/>
    <w:pPr>
      <w:pBdr/>
      <w:spacing/>
      <w:ind/>
    </w:pPr>
  </w:style>
  <w:style w:type="paragraph" w:styleId="1056">
    <w:name w:val="table of figures"/>
    <w:basedOn w:val="1057"/>
    <w:next w:val="1057"/>
    <w:uiPriority w:val="99"/>
    <w:unhideWhenUsed/>
    <w:pPr>
      <w:pBdr/>
      <w:spacing w:after="0" w:afterAutospacing="0"/>
      <w:ind/>
    </w:pPr>
  </w:style>
  <w:style w:type="paragraph" w:styleId="1057" w:default="1">
    <w:name w:val="Normal"/>
    <w:qFormat/>
    <w:pPr>
      <w:pBdr/>
      <w:spacing w:after="0" w:line="36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character" w:styleId="1058" w:default="1">
    <w:name w:val="Default Paragraph Font"/>
    <w:uiPriority w:val="1"/>
    <w:semiHidden/>
    <w:unhideWhenUsed/>
    <w:pPr>
      <w:pBdr/>
      <w:spacing/>
      <w:ind/>
    </w:pPr>
  </w:style>
  <w:style w:type="table" w:styleId="105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60" w:default="1">
    <w:name w:val="No List"/>
    <w:uiPriority w:val="99"/>
    <w:semiHidden/>
    <w:unhideWhenUsed/>
    <w:pPr>
      <w:pBdr/>
      <w:spacing/>
      <w:ind/>
    </w:pPr>
  </w:style>
  <w:style w:type="paragraph" w:styleId="1061">
    <w:name w:val="No Spacing"/>
    <w:uiPriority w:val="1"/>
    <w:qFormat/>
    <w:pPr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table" w:styleId="1062">
    <w:name w:val="Table Grid"/>
    <w:basedOn w:val="1059"/>
    <w:uiPriority w:val="59"/>
    <w:pPr>
      <w:pBdr/>
      <w:spacing w:after="0" w:line="24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63">
    <w:name w:val="Header"/>
    <w:basedOn w:val="1057"/>
    <w:link w:val="106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4" w:customStyle="1">
    <w:name w:val="Верхний колонтитул Знак"/>
    <w:basedOn w:val="1058"/>
    <w:link w:val="1063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5">
    <w:name w:val="Footer"/>
    <w:basedOn w:val="1057"/>
    <w:link w:val="106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6" w:customStyle="1">
    <w:name w:val="Нижний колонтитул Знак"/>
    <w:basedOn w:val="1058"/>
    <w:link w:val="1065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7">
    <w:name w:val="footnote text"/>
    <w:basedOn w:val="1057"/>
    <w:link w:val="106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8" w:customStyle="1">
    <w:name w:val="Текст сноски Знак"/>
    <w:basedOn w:val="1058"/>
    <w:link w:val="1067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69">
    <w:name w:val="footnote reference"/>
    <w:basedOn w:val="1058"/>
    <w:uiPriority w:val="99"/>
    <w:semiHidden/>
    <w:unhideWhenUsed/>
    <w:pPr>
      <w:pBdr/>
      <w:spacing/>
      <w:ind/>
    </w:pPr>
    <w:rPr>
      <w:vertAlign w:val="superscript"/>
    </w:rPr>
  </w:style>
  <w:style w:type="paragraph" w:styleId="1070">
    <w:name w:val="endnote text"/>
    <w:basedOn w:val="1057"/>
    <w:link w:val="107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71" w:customStyle="1">
    <w:name w:val="Текст концевой сноски Знак"/>
    <w:basedOn w:val="1058"/>
    <w:link w:val="1070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72">
    <w:name w:val="endnote reference"/>
    <w:basedOn w:val="1058"/>
    <w:uiPriority w:val="99"/>
    <w:semiHidden/>
    <w:unhideWhenUsed/>
    <w:pPr>
      <w:pBdr/>
      <w:spacing/>
      <w:ind/>
    </w:pPr>
    <w:rPr>
      <w:vertAlign w:val="superscript"/>
    </w:rPr>
  </w:style>
  <w:style w:type="paragraph" w:styleId="1073">
    <w:name w:val="Normal (Web)"/>
    <w:basedOn w:val="1057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</w:rPr>
  </w:style>
  <w:style w:type="paragraph" w:styleId="1074">
    <w:name w:val="List Paragraph"/>
    <w:basedOn w:val="1057"/>
    <w:uiPriority w:val="34"/>
    <w:qFormat/>
    <w:pPr>
      <w:pBdr/>
      <w:spacing/>
      <w:ind w:left="720"/>
      <w:contextualSpacing w:val="true"/>
    </w:pPr>
  </w:style>
  <w:style w:type="character" w:styleId="1075">
    <w:name w:val="Hyperlink"/>
    <w:basedOn w:val="105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76">
    <w:name w:val="Unresolved Mention"/>
    <w:basedOn w:val="105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77" w:customStyle="1">
    <w:name w:val="ывы_character"/>
    <w:link w:val="1078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paragraph" w:styleId="1078" w:customStyle="1">
    <w:name w:val="ывы"/>
    <w:basedOn w:val="1057"/>
    <w:link w:val="1077"/>
    <w:qFormat/>
    <w:pPr>
      <w:suppressLineNumbers w:val="false"/>
      <w:pBdr/>
      <w:shd w:val="nil"/>
      <w:spacing/>
      <w:ind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hyperlink" Target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TargetMode="External"/><Relationship Id="rId43" Type="http://schemas.openxmlformats.org/officeDocument/2006/relationships/image" Target="media/image28.png"/><Relationship Id="rId44" Type="http://schemas.openxmlformats.org/officeDocument/2006/relationships/hyperlink" Target="http://localhost:5000/" TargetMode="External"/><Relationship Id="rId45" Type="http://schemas.openxmlformats.org/officeDocument/2006/relationships/hyperlink" Target="https://ru.wikipedia.org/wiki/Data_science" TargetMode="External"/><Relationship Id="rId46" Type="http://schemas.openxmlformats.org/officeDocument/2006/relationships/hyperlink" Target="https://scikit-learn.org/stable/" TargetMode="External"/><Relationship Id="rId47" Type="http://schemas.openxmlformats.org/officeDocument/2006/relationships/hyperlink" Target="https://www.kaggle.com/" TargetMode="External"/><Relationship Id="rId48" Type="http://schemas.openxmlformats.org/officeDocument/2006/relationships/hyperlink" Target="https://www.tensorflow.org/" TargetMode="External"/><Relationship Id="rId49" Type="http://schemas.openxmlformats.org/officeDocument/2006/relationships/hyperlink" Target="https://pytorch.org/" TargetMode="External"/><Relationship Id="rId50" Type="http://schemas.openxmlformats.org/officeDocument/2006/relationships/hyperlink" Target="https://towardsdatascience.com/" TargetMode="External"/><Relationship Id="rId51" Type="http://schemas.openxmlformats.org/officeDocument/2006/relationships/hyperlink" Target="https://github.com/topics/data-science" TargetMode="External"/><Relationship Id="rId52" Type="http://schemas.openxmlformats.org/officeDocument/2006/relationships/hyperlink" Target="https://www.datasciencecentral.com/" TargetMode="External"/><Relationship Id="rId53" Type="http://schemas.openxmlformats.org/officeDocument/2006/relationships/hyperlink" Target="https://www.analyticsvidhya.com/" TargetMode="External"/><Relationship Id="rId54" Type="http://schemas.openxmlformats.org/officeDocument/2006/relationships/hyperlink" Target="https://machinelearningmastery.com/" TargetMode="External"/><Relationship Id="rId55" Type="http://schemas.openxmlformats.org/officeDocument/2006/relationships/hyperlink" Target="https://openai.com/research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7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Table Grid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Table Grid Light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Plain Table 1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Plain Table 2"/>
    <w:basedOn w:val="157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Plain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Plain Table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Plain Table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1 Light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1 Light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1 Light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1 Light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1 Light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1 Light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1 Light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2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2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2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2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2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Grid Table 2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Grid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Grid Table 3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Grid Table 3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Grid Table 3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Grid Table 3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Grid Table 3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Grid Table 3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Grid Table 4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Grid Table 4 - Accent 1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Grid Table 4 - Accent 2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Grid Table 4 - Accent 3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Grid Table 4 - Accent 4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Grid Table 4 - Accent 5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Grid Table 4 - Accent 6"/>
    <w:basedOn w:val="157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Grid Table 5 Dark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Grid Table 5 Dark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Grid Table 5 Dark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Grid Table 5 Dark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Grid Table 5 Dark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Grid Table 5 Dark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Grid Table 5 Dark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6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6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6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6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6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6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6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7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7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7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7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7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7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7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1 Light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1 Light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1 Light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1 Light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1 Light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1 Light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1 Light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2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2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2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2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2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st Table 2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st Table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st Table 3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st Table 3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st Table 3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st Table 3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st Table 3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List Table 3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List Table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List Table 4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List Table 4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List Table 4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List Table 4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List Table 4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List Table 4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List Table 5 Dark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List Table 5 Dark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List Table 5 Dark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List Table 5 Dark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List Table 5 Dark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List Table 5 Dark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List Table 5 Dark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6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6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6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6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6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6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6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7 Colorful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7 Colorful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7 Colorful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7 Colorful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7 Colorful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7 Colorful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7 Colorful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ned - Accent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ned - Accent 1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ned - Accent 2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ned - Accent 3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ned - Accent 4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ned - Accent 5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ned - Accent 6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Bordered &amp; Lined - Accent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Bordered &amp; Lined - Accent 1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Bordered &amp; Lined - Accent 2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Bordered &amp; Lined - Accent 3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Bordered &amp; Lined - Accent 4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Bordered &amp; Lined - Accent 5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Bordered &amp; Lined - Accent 6"/>
    <w:basedOn w:val="157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Bordered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Bordered - Accent 1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Bordered - Accent 2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Bordered - Accent 3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Bordered - Accent 4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Bordered - Accent 5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Bordered - Accent 6"/>
    <w:basedOn w:val="157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06" w:default="1">
    <w:name w:val="Normal"/>
    <w:qFormat/>
    <w:pPr>
      <w:pBdr/>
      <w:spacing/>
      <w:ind/>
    </w:pPr>
  </w:style>
  <w:style w:type="paragraph" w:styleId="1707">
    <w:name w:val="Heading 1"/>
    <w:basedOn w:val="1706"/>
    <w:next w:val="1706"/>
    <w:link w:val="171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08">
    <w:name w:val="Heading 2"/>
    <w:basedOn w:val="1706"/>
    <w:next w:val="1706"/>
    <w:link w:val="171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09">
    <w:name w:val="Heading 3"/>
    <w:basedOn w:val="1706"/>
    <w:next w:val="1706"/>
    <w:link w:val="172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10">
    <w:name w:val="Heading 4"/>
    <w:basedOn w:val="1706"/>
    <w:next w:val="1706"/>
    <w:link w:val="17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11">
    <w:name w:val="Heading 5"/>
    <w:basedOn w:val="1706"/>
    <w:next w:val="1706"/>
    <w:link w:val="17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12">
    <w:name w:val="Heading 6"/>
    <w:basedOn w:val="1706"/>
    <w:next w:val="1706"/>
    <w:link w:val="17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13">
    <w:name w:val="Heading 7"/>
    <w:basedOn w:val="1706"/>
    <w:next w:val="1706"/>
    <w:link w:val="17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14">
    <w:name w:val="Heading 8"/>
    <w:basedOn w:val="1706"/>
    <w:next w:val="1706"/>
    <w:link w:val="172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15">
    <w:name w:val="Heading 9"/>
    <w:basedOn w:val="1706"/>
    <w:next w:val="1706"/>
    <w:link w:val="172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16" w:default="1">
    <w:name w:val="Default Paragraph Font"/>
    <w:uiPriority w:val="1"/>
    <w:semiHidden/>
    <w:unhideWhenUsed/>
    <w:pPr>
      <w:pBdr/>
      <w:spacing/>
      <w:ind/>
    </w:pPr>
  </w:style>
  <w:style w:type="numbering" w:styleId="1717" w:default="1">
    <w:name w:val="No List"/>
    <w:uiPriority w:val="99"/>
    <w:semiHidden/>
    <w:unhideWhenUsed/>
    <w:pPr>
      <w:pBdr/>
      <w:spacing/>
      <w:ind/>
    </w:pPr>
  </w:style>
  <w:style w:type="character" w:styleId="1718">
    <w:name w:val="Heading 1 Char"/>
    <w:basedOn w:val="1716"/>
    <w:link w:val="17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19">
    <w:name w:val="Heading 2 Char"/>
    <w:basedOn w:val="1716"/>
    <w:link w:val="170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20">
    <w:name w:val="Heading 3 Char"/>
    <w:basedOn w:val="1716"/>
    <w:link w:val="17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21">
    <w:name w:val="Heading 4 Char"/>
    <w:basedOn w:val="1716"/>
    <w:link w:val="171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22">
    <w:name w:val="Heading 5 Char"/>
    <w:basedOn w:val="1716"/>
    <w:link w:val="17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23">
    <w:name w:val="Heading 6 Char"/>
    <w:basedOn w:val="1716"/>
    <w:link w:val="171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24">
    <w:name w:val="Heading 7 Char"/>
    <w:basedOn w:val="1716"/>
    <w:link w:val="171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25">
    <w:name w:val="Heading 8 Char"/>
    <w:basedOn w:val="1716"/>
    <w:link w:val="171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26">
    <w:name w:val="Heading 9 Char"/>
    <w:basedOn w:val="1716"/>
    <w:link w:val="17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27">
    <w:name w:val="Title"/>
    <w:basedOn w:val="1706"/>
    <w:next w:val="1706"/>
    <w:link w:val="172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28">
    <w:name w:val="Title Char"/>
    <w:basedOn w:val="1716"/>
    <w:link w:val="172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29">
    <w:name w:val="Subtitle"/>
    <w:basedOn w:val="1706"/>
    <w:next w:val="1706"/>
    <w:link w:val="173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30">
    <w:name w:val="Subtitle Char"/>
    <w:basedOn w:val="1716"/>
    <w:link w:val="172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31">
    <w:name w:val="Quote"/>
    <w:basedOn w:val="1706"/>
    <w:next w:val="1706"/>
    <w:link w:val="173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32">
    <w:name w:val="Quote Char"/>
    <w:basedOn w:val="1716"/>
    <w:link w:val="173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33">
    <w:name w:val="List Paragraph"/>
    <w:basedOn w:val="1706"/>
    <w:uiPriority w:val="34"/>
    <w:qFormat/>
    <w:pPr>
      <w:pBdr/>
      <w:spacing/>
      <w:ind w:left="720"/>
      <w:contextualSpacing w:val="true"/>
    </w:pPr>
  </w:style>
  <w:style w:type="character" w:styleId="1734">
    <w:name w:val="Intense Emphasis"/>
    <w:basedOn w:val="171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35">
    <w:name w:val="Intense Quote"/>
    <w:basedOn w:val="1706"/>
    <w:next w:val="1706"/>
    <w:link w:val="173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36">
    <w:name w:val="Intense Quote Char"/>
    <w:basedOn w:val="1716"/>
    <w:link w:val="173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37">
    <w:name w:val="Intense Reference"/>
    <w:basedOn w:val="171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38">
    <w:name w:val="No Spacing"/>
    <w:basedOn w:val="1706"/>
    <w:uiPriority w:val="1"/>
    <w:qFormat/>
    <w:pPr>
      <w:pBdr/>
      <w:spacing w:after="0" w:line="240" w:lineRule="auto"/>
      <w:ind/>
    </w:pPr>
  </w:style>
  <w:style w:type="character" w:styleId="1739">
    <w:name w:val="Subtle Emphasis"/>
    <w:basedOn w:val="171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40">
    <w:name w:val="Emphasis"/>
    <w:basedOn w:val="1716"/>
    <w:uiPriority w:val="20"/>
    <w:qFormat/>
    <w:pPr>
      <w:pBdr/>
      <w:spacing/>
      <w:ind/>
    </w:pPr>
    <w:rPr>
      <w:i/>
      <w:iCs/>
    </w:rPr>
  </w:style>
  <w:style w:type="character" w:styleId="1741">
    <w:name w:val="Strong"/>
    <w:basedOn w:val="1716"/>
    <w:uiPriority w:val="22"/>
    <w:qFormat/>
    <w:pPr>
      <w:pBdr/>
      <w:spacing/>
      <w:ind/>
    </w:pPr>
    <w:rPr>
      <w:b/>
      <w:bCs/>
    </w:rPr>
  </w:style>
  <w:style w:type="character" w:styleId="1742">
    <w:name w:val="Subtle Reference"/>
    <w:basedOn w:val="171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3">
    <w:name w:val="Book Title"/>
    <w:basedOn w:val="171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44">
    <w:name w:val="Header"/>
    <w:basedOn w:val="1706"/>
    <w:link w:val="174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5">
    <w:name w:val="Header Char"/>
    <w:basedOn w:val="1716"/>
    <w:link w:val="1744"/>
    <w:uiPriority w:val="99"/>
    <w:pPr>
      <w:pBdr/>
      <w:spacing/>
      <w:ind/>
    </w:pPr>
  </w:style>
  <w:style w:type="paragraph" w:styleId="1746">
    <w:name w:val="Footer"/>
    <w:basedOn w:val="1706"/>
    <w:link w:val="174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7">
    <w:name w:val="Footer Char"/>
    <w:basedOn w:val="1716"/>
    <w:link w:val="1746"/>
    <w:uiPriority w:val="99"/>
    <w:pPr>
      <w:pBdr/>
      <w:spacing/>
      <w:ind/>
    </w:pPr>
  </w:style>
  <w:style w:type="paragraph" w:styleId="1748">
    <w:name w:val="Caption"/>
    <w:basedOn w:val="1706"/>
    <w:next w:val="170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49">
    <w:name w:val="footnote text"/>
    <w:basedOn w:val="1706"/>
    <w:link w:val="175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50">
    <w:name w:val="Footnote Text Char"/>
    <w:basedOn w:val="1716"/>
    <w:link w:val="1749"/>
    <w:uiPriority w:val="99"/>
    <w:semiHidden/>
    <w:pPr>
      <w:pBdr/>
      <w:spacing/>
      <w:ind/>
    </w:pPr>
    <w:rPr>
      <w:sz w:val="20"/>
      <w:szCs w:val="20"/>
    </w:rPr>
  </w:style>
  <w:style w:type="character" w:styleId="1751">
    <w:name w:val="footnote reference"/>
    <w:basedOn w:val="1716"/>
    <w:uiPriority w:val="99"/>
    <w:semiHidden/>
    <w:unhideWhenUsed/>
    <w:pPr>
      <w:pBdr/>
      <w:spacing/>
      <w:ind/>
    </w:pPr>
    <w:rPr>
      <w:vertAlign w:val="superscript"/>
    </w:rPr>
  </w:style>
  <w:style w:type="paragraph" w:styleId="1752">
    <w:name w:val="endnote text"/>
    <w:basedOn w:val="1706"/>
    <w:link w:val="175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53">
    <w:name w:val="Endnote Text Char"/>
    <w:basedOn w:val="1716"/>
    <w:link w:val="1752"/>
    <w:uiPriority w:val="99"/>
    <w:semiHidden/>
    <w:pPr>
      <w:pBdr/>
      <w:spacing/>
      <w:ind/>
    </w:pPr>
    <w:rPr>
      <w:sz w:val="20"/>
      <w:szCs w:val="20"/>
    </w:rPr>
  </w:style>
  <w:style w:type="character" w:styleId="1754">
    <w:name w:val="endnote reference"/>
    <w:basedOn w:val="1716"/>
    <w:uiPriority w:val="99"/>
    <w:semiHidden/>
    <w:unhideWhenUsed/>
    <w:pPr>
      <w:pBdr/>
      <w:spacing/>
      <w:ind/>
    </w:pPr>
    <w:rPr>
      <w:vertAlign w:val="superscript"/>
    </w:rPr>
  </w:style>
  <w:style w:type="character" w:styleId="1755">
    <w:name w:val="Hyperlink"/>
    <w:basedOn w:val="171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56">
    <w:name w:val="FollowedHyperlink"/>
    <w:basedOn w:val="171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57">
    <w:name w:val="toc 1"/>
    <w:basedOn w:val="1706"/>
    <w:next w:val="1706"/>
    <w:uiPriority w:val="39"/>
    <w:unhideWhenUsed/>
    <w:pPr>
      <w:pBdr/>
      <w:spacing w:after="100"/>
      <w:ind/>
    </w:pPr>
  </w:style>
  <w:style w:type="paragraph" w:styleId="1758">
    <w:name w:val="toc 2"/>
    <w:basedOn w:val="1706"/>
    <w:next w:val="1706"/>
    <w:uiPriority w:val="39"/>
    <w:unhideWhenUsed/>
    <w:pPr>
      <w:pBdr/>
      <w:spacing w:after="100"/>
      <w:ind w:left="220"/>
    </w:pPr>
  </w:style>
  <w:style w:type="paragraph" w:styleId="1759">
    <w:name w:val="toc 3"/>
    <w:basedOn w:val="1706"/>
    <w:next w:val="1706"/>
    <w:uiPriority w:val="39"/>
    <w:unhideWhenUsed/>
    <w:pPr>
      <w:pBdr/>
      <w:spacing w:after="100"/>
      <w:ind w:left="440"/>
    </w:pPr>
  </w:style>
  <w:style w:type="paragraph" w:styleId="1760">
    <w:name w:val="toc 4"/>
    <w:basedOn w:val="1706"/>
    <w:next w:val="1706"/>
    <w:uiPriority w:val="39"/>
    <w:unhideWhenUsed/>
    <w:pPr>
      <w:pBdr/>
      <w:spacing w:after="100"/>
      <w:ind w:left="660"/>
    </w:pPr>
  </w:style>
  <w:style w:type="paragraph" w:styleId="1761">
    <w:name w:val="toc 5"/>
    <w:basedOn w:val="1706"/>
    <w:next w:val="1706"/>
    <w:uiPriority w:val="39"/>
    <w:unhideWhenUsed/>
    <w:pPr>
      <w:pBdr/>
      <w:spacing w:after="100"/>
      <w:ind w:left="880"/>
    </w:pPr>
  </w:style>
  <w:style w:type="paragraph" w:styleId="1762">
    <w:name w:val="toc 6"/>
    <w:basedOn w:val="1706"/>
    <w:next w:val="1706"/>
    <w:uiPriority w:val="39"/>
    <w:unhideWhenUsed/>
    <w:pPr>
      <w:pBdr/>
      <w:spacing w:after="100"/>
      <w:ind w:left="1100"/>
    </w:pPr>
  </w:style>
  <w:style w:type="paragraph" w:styleId="1763">
    <w:name w:val="toc 7"/>
    <w:basedOn w:val="1706"/>
    <w:next w:val="1706"/>
    <w:uiPriority w:val="39"/>
    <w:unhideWhenUsed/>
    <w:pPr>
      <w:pBdr/>
      <w:spacing w:after="100"/>
      <w:ind w:left="1320"/>
    </w:pPr>
  </w:style>
  <w:style w:type="paragraph" w:styleId="1764">
    <w:name w:val="toc 8"/>
    <w:basedOn w:val="1706"/>
    <w:next w:val="1706"/>
    <w:uiPriority w:val="39"/>
    <w:unhideWhenUsed/>
    <w:pPr>
      <w:pBdr/>
      <w:spacing w:after="100"/>
      <w:ind w:left="1540"/>
    </w:pPr>
  </w:style>
  <w:style w:type="paragraph" w:styleId="1765">
    <w:name w:val="toc 9"/>
    <w:basedOn w:val="1706"/>
    <w:next w:val="1706"/>
    <w:uiPriority w:val="39"/>
    <w:unhideWhenUsed/>
    <w:pPr>
      <w:pBdr/>
      <w:spacing w:after="100"/>
      <w:ind w:left="1760"/>
    </w:pPr>
  </w:style>
  <w:style w:type="paragraph" w:styleId="1766">
    <w:name w:val="TOC Heading"/>
    <w:uiPriority w:val="39"/>
    <w:unhideWhenUsed/>
    <w:pPr>
      <w:pBdr/>
      <w:spacing/>
      <w:ind/>
    </w:pPr>
  </w:style>
  <w:style w:type="paragraph" w:styleId="1767">
    <w:name w:val="table of figures"/>
    <w:basedOn w:val="1706"/>
    <w:next w:val="170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50ED0-5970-4623-A4D6-47BB67635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revision>11</cp:revision>
  <dcterms:created xsi:type="dcterms:W3CDTF">2023-08-23T12:31:00Z</dcterms:created>
  <dcterms:modified xsi:type="dcterms:W3CDTF">2025-05-26T22:07:53Z</dcterms:modified>
</cp:coreProperties>
</file>