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430"/>
        <w:tblW w:w="5588" w:type="pct"/>
        <w:tblLook w:val="04A0" w:firstRow="1" w:lastRow="0" w:firstColumn="1" w:lastColumn="0" w:noHBand="0" w:noVBand="1"/>
      </w:tblPr>
      <w:tblGrid>
        <w:gridCol w:w="6087"/>
        <w:gridCol w:w="2561"/>
        <w:gridCol w:w="6361"/>
      </w:tblGrid>
      <w:tr w:rsidR="00C84B1F" w:rsidRPr="00D10E44" w14:paraId="1F7C8805" w14:textId="77777777" w:rsidTr="00C84B1F">
        <w:trPr>
          <w:trHeight w:val="1268"/>
        </w:trPr>
        <w:tc>
          <w:tcPr>
            <w:tcW w:w="2028" w:type="pct"/>
          </w:tcPr>
          <w:p w14:paraId="6FEFC45E" w14:textId="77777777" w:rsidR="00C84B1F" w:rsidRPr="00D17D83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  <w:lang w:val="fr-CI"/>
              </w:rPr>
            </w:pPr>
            <w:r w:rsidRPr="00D17D83">
              <w:rPr>
                <w:rFonts w:ascii="Century Gothic" w:hAnsi="Century Gothic" w:cs="Arial"/>
                <w:sz w:val="18"/>
                <w:szCs w:val="18"/>
                <w:lang w:val="fr-CI"/>
              </w:rPr>
              <w:t xml:space="preserve">MINISTERE DE LA PROMOTION DE LA </w:t>
            </w:r>
          </w:p>
          <w:p w14:paraId="5C4D3F8F" w14:textId="77777777" w:rsidR="00C84B1F" w:rsidRPr="00D17D83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  <w:lang w:val="fr-CI"/>
              </w:rPr>
            </w:pPr>
            <w:r w:rsidRPr="00D17D83">
              <w:rPr>
                <w:rFonts w:ascii="Century Gothic" w:hAnsi="Century Gothic" w:cs="Arial"/>
                <w:sz w:val="18"/>
                <w:szCs w:val="18"/>
                <w:lang w:val="fr-CI"/>
              </w:rPr>
              <w:t>JEUNESSE, DE L’INSERTION PROFESSIONNELLE</w:t>
            </w:r>
          </w:p>
          <w:p w14:paraId="1A8C4311" w14:textId="77777777" w:rsidR="00C84B1F" w:rsidRPr="00D17D83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  <w:lang w:val="fr-CI"/>
              </w:rPr>
            </w:pPr>
            <w:r w:rsidRPr="00D17D83">
              <w:rPr>
                <w:rFonts w:ascii="Century Gothic" w:hAnsi="Century Gothic" w:cs="Arial"/>
                <w:sz w:val="18"/>
                <w:szCs w:val="18"/>
                <w:lang w:val="fr-CI"/>
              </w:rPr>
              <w:t xml:space="preserve"> ET DU SERVICE CIVIQUE</w:t>
            </w:r>
          </w:p>
          <w:p w14:paraId="11F5AF28" w14:textId="77777777" w:rsidR="00C84B1F" w:rsidRPr="00D10E44" w:rsidRDefault="00C84B1F" w:rsidP="00D1445E">
            <w:pPr>
              <w:spacing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10E44">
              <w:rPr>
                <w:rFonts w:ascii="Century Gothic" w:hAnsi="Century Gothic" w:cs="Arial"/>
                <w:sz w:val="18"/>
                <w:szCs w:val="18"/>
              </w:rPr>
              <w:t>-----------------</w:t>
            </w:r>
          </w:p>
        </w:tc>
        <w:tc>
          <w:tcPr>
            <w:tcW w:w="853" w:type="pct"/>
          </w:tcPr>
          <w:p w14:paraId="194D4C0E" w14:textId="77777777" w:rsidR="00C84B1F" w:rsidRPr="00D10E44" w:rsidRDefault="00C84B1F" w:rsidP="00D1445E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D10E44">
              <w:rPr>
                <w:rFonts w:ascii="Century Gothic" w:hAnsi="Century Gothic"/>
                <w:noProof/>
                <w:sz w:val="18"/>
                <w:szCs w:val="18"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4C89AB3B" wp14:editId="587AE51A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-63500</wp:posOffset>
                  </wp:positionV>
                  <wp:extent cx="741045" cy="666115"/>
                  <wp:effectExtent l="0" t="0" r="1905" b="635"/>
                  <wp:wrapNone/>
                  <wp:docPr id="2" name="Image 2" descr="Armoir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Armoir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9" w:type="pct"/>
          </w:tcPr>
          <w:p w14:paraId="456B633E" w14:textId="77777777" w:rsidR="00C84B1F" w:rsidRPr="00D17D83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  <w:lang w:val="fr-CI"/>
              </w:rPr>
            </w:pPr>
            <w:r w:rsidRPr="00D17D83">
              <w:rPr>
                <w:rFonts w:ascii="Century Gothic" w:hAnsi="Century Gothic" w:cs="Arial"/>
                <w:sz w:val="18"/>
                <w:szCs w:val="18"/>
                <w:lang w:val="fr-CI"/>
              </w:rPr>
              <w:t>REPUBLIQUE DE COTE D’IVOIRE</w:t>
            </w:r>
          </w:p>
          <w:p w14:paraId="43CB172B" w14:textId="77777777" w:rsidR="00C84B1F" w:rsidRPr="00D17D83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  <w:lang w:val="fr-CI"/>
              </w:rPr>
            </w:pPr>
            <w:r w:rsidRPr="00D17D83">
              <w:rPr>
                <w:rFonts w:ascii="Century Gothic" w:hAnsi="Century Gothic" w:cs="Arial"/>
                <w:sz w:val="18"/>
                <w:szCs w:val="18"/>
                <w:lang w:val="fr-CI"/>
              </w:rPr>
              <w:t>Union-Discipline-Travail</w:t>
            </w:r>
          </w:p>
          <w:p w14:paraId="614497B3" w14:textId="77777777" w:rsidR="00C84B1F" w:rsidRPr="00D10E44" w:rsidRDefault="00C84B1F" w:rsidP="00D1445E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D10E44">
              <w:rPr>
                <w:rFonts w:ascii="Century Gothic" w:hAnsi="Century Gothic" w:cs="Arial"/>
                <w:sz w:val="18"/>
                <w:szCs w:val="18"/>
              </w:rPr>
              <w:t>-----------------</w:t>
            </w:r>
          </w:p>
        </w:tc>
      </w:tr>
      <w:tr w:rsidR="00C84B1F" w:rsidRPr="00D10E44" w14:paraId="37AB3BAE" w14:textId="77777777" w:rsidTr="00C84B1F">
        <w:trPr>
          <w:trHeight w:val="411"/>
        </w:trPr>
        <w:tc>
          <w:tcPr>
            <w:tcW w:w="2028" w:type="pct"/>
          </w:tcPr>
          <w:p w14:paraId="077AE111" w14:textId="77777777" w:rsidR="00C84B1F" w:rsidRPr="00D10E44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853" w:type="pct"/>
          </w:tcPr>
          <w:p w14:paraId="1018F3F7" w14:textId="77777777" w:rsidR="00C84B1F" w:rsidRPr="00D10E44" w:rsidRDefault="00E664AC" w:rsidP="00D1445E">
            <w:pPr>
              <w:tabs>
                <w:tab w:val="left" w:pos="1875"/>
                <w:tab w:val="center" w:pos="4536"/>
                <w:tab w:val="right" w:pos="9072"/>
              </w:tabs>
              <w:spacing w:after="0"/>
              <w:jc w:val="center"/>
              <w:rPr>
                <w:rFonts w:ascii="Century Gothic" w:hAnsi="Century Gothic" w:cs="Arial"/>
                <w:noProof/>
                <w:sz w:val="18"/>
                <w:szCs w:val="18"/>
                <w:lang w:eastAsia="fr-FR"/>
              </w:rPr>
            </w:pPr>
            <w:r w:rsidRPr="00D10E44">
              <w:rPr>
                <w:rFonts w:ascii="Century Gothic" w:hAnsi="Century Gothic"/>
                <w:noProof/>
                <w:sz w:val="18"/>
                <w:szCs w:val="18"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7DB3FB25" wp14:editId="7CB6BF70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-147955</wp:posOffset>
                  </wp:positionV>
                  <wp:extent cx="1735455" cy="609600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9" w:type="pct"/>
          </w:tcPr>
          <w:p w14:paraId="2853F358" w14:textId="77777777" w:rsidR="00C84B1F" w:rsidRPr="00D10E44" w:rsidRDefault="00C84B1F" w:rsidP="00D1445E">
            <w:pPr>
              <w:spacing w:after="0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3F1D4B57" w14:textId="77777777" w:rsidR="00C84B1F" w:rsidRPr="007740DF" w:rsidRDefault="00C84B1F" w:rsidP="00532965">
      <w:pPr>
        <w:jc w:val="both"/>
        <w:rPr>
          <w:rFonts w:ascii="Century Gothic" w:hAnsi="Century Gothic"/>
          <w:sz w:val="24"/>
          <w:lang w:val="fr-CI"/>
        </w:rPr>
      </w:pPr>
    </w:p>
    <w:p w14:paraId="61E02D3B" w14:textId="0B6F9422" w:rsidR="00C84B1F" w:rsidRPr="007740DF" w:rsidRDefault="003E0AA1" w:rsidP="003E0AA1">
      <w:pPr>
        <w:shd w:val="clear" w:color="auto" w:fill="FFF2CC" w:themeFill="accent4" w:themeFillTint="33"/>
        <w:jc w:val="center"/>
        <w:rPr>
          <w:rFonts w:ascii="Century Gothic" w:hAnsi="Century Gothic"/>
          <w:b/>
          <w:sz w:val="20"/>
          <w:lang w:val="fr-CI"/>
        </w:rPr>
      </w:pPr>
      <w:r w:rsidRPr="007740DF">
        <w:rPr>
          <w:rFonts w:ascii="Century Gothic" w:hAnsi="Century Gothic"/>
          <w:b/>
          <w:sz w:val="20"/>
          <w:lang w:val="fr-CI"/>
        </w:rPr>
        <w:t>AGENCE EMPLOI JEUNES</w:t>
      </w:r>
      <w:r w:rsidR="00CD603C" w:rsidRPr="007740DF">
        <w:rPr>
          <w:rFonts w:ascii="Century Gothic" w:hAnsi="Century Gothic"/>
          <w:b/>
          <w:sz w:val="20"/>
          <w:lang w:val="fr-CI"/>
        </w:rPr>
        <w:t xml:space="preserve"> – </w:t>
      </w:r>
      <w:r w:rsidR="00287C0C">
        <w:rPr>
          <w:rFonts w:ascii="Century Gothic" w:hAnsi="Century Gothic"/>
          <w:b/>
          <w:sz w:val="20"/>
          <w:lang w:val="fr-CI"/>
        </w:rPr>
        <w:t xml:space="preserve">INFORMATIONS SUR </w:t>
      </w:r>
      <w:r w:rsidR="001504CE">
        <w:rPr>
          <w:rFonts w:ascii="Century Gothic" w:hAnsi="Century Gothic"/>
          <w:b/>
          <w:sz w:val="20"/>
          <w:lang w:val="fr-CI"/>
        </w:rPr>
        <w:t>GUICHET</w:t>
      </w:r>
      <w:r w:rsidR="00287C0C">
        <w:rPr>
          <w:rFonts w:ascii="Century Gothic" w:hAnsi="Century Gothic"/>
          <w:b/>
          <w:sz w:val="20"/>
          <w:lang w:val="fr-CI"/>
        </w:rPr>
        <w:t xml:space="preserve"> 6 « </w:t>
      </w:r>
      <w:r w:rsidR="00287C0C" w:rsidRPr="0005010B">
        <w:rPr>
          <w:rFonts w:ascii="Century Gothic" w:hAnsi="Century Gothic"/>
          <w:b/>
          <w:bCs/>
          <w:sz w:val="20"/>
          <w:lang w:val="fr-CI"/>
        </w:rPr>
        <w:t>START-UP BOOST CAPITAL</w:t>
      </w:r>
      <w:r w:rsidR="00287C0C">
        <w:rPr>
          <w:rFonts w:ascii="Century Gothic" w:hAnsi="Century Gothic"/>
          <w:b/>
          <w:sz w:val="20"/>
          <w:lang w:val="fr-CI"/>
        </w:rPr>
        <w:t xml:space="preserve"> » </w:t>
      </w:r>
      <w:r w:rsidR="00CD603C" w:rsidRPr="007740DF">
        <w:rPr>
          <w:rFonts w:ascii="Century Gothic" w:hAnsi="Century Gothic"/>
          <w:b/>
          <w:sz w:val="20"/>
          <w:lang w:val="fr-CI"/>
        </w:rPr>
        <w:t xml:space="preserve"> </w:t>
      </w:r>
    </w:p>
    <w:p w14:paraId="34DA1024" w14:textId="0B7AC3EF" w:rsidR="0027383D" w:rsidRDefault="0027383D" w:rsidP="00005C84">
      <w:pPr>
        <w:spacing w:after="0"/>
        <w:jc w:val="both"/>
        <w:rPr>
          <w:rFonts w:ascii="Century Gothic" w:hAnsi="Century Gothic"/>
          <w:b/>
          <w:color w:val="ED7D31" w:themeColor="accent2"/>
          <w:sz w:val="18"/>
          <w:lang w:val="fr-CI"/>
        </w:rPr>
      </w:pPr>
    </w:p>
    <w:p w14:paraId="3F79EE2E" w14:textId="77777777" w:rsidR="000163DD" w:rsidRPr="007740DF" w:rsidRDefault="000163DD" w:rsidP="000163D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b/>
          <w:color w:val="002060"/>
          <w:sz w:val="20"/>
          <w:lang w:val="fr-CI"/>
        </w:rPr>
      </w:pPr>
      <w:bookmarkStart w:id="0" w:name="_Hlk121313637"/>
      <w:r>
        <w:rPr>
          <w:rFonts w:ascii="Century Gothic" w:hAnsi="Century Gothic"/>
          <w:b/>
          <w:color w:val="002060"/>
          <w:sz w:val="20"/>
          <w:lang w:val="fr-CI"/>
        </w:rPr>
        <w:t xml:space="preserve">Descriptif du guichet : </w:t>
      </w:r>
    </w:p>
    <w:p w14:paraId="4D417367" w14:textId="35328717" w:rsidR="000163DD" w:rsidRDefault="000163DD" w:rsidP="000163DD">
      <w:pPr>
        <w:numPr>
          <w:ilvl w:val="0"/>
          <w:numId w:val="16"/>
        </w:numPr>
        <w:jc w:val="both"/>
        <w:rPr>
          <w:rFonts w:ascii="Century Gothic" w:hAnsi="Century Gothic"/>
          <w:sz w:val="18"/>
          <w:szCs w:val="18"/>
          <w:lang w:val="fr-CI"/>
        </w:rPr>
      </w:pPr>
      <w:r w:rsidRPr="00DA5FAF">
        <w:rPr>
          <w:rFonts w:ascii="Century Gothic" w:hAnsi="Century Gothic"/>
          <w:b/>
          <w:sz w:val="18"/>
          <w:szCs w:val="18"/>
          <w:lang w:val="fr-FR"/>
        </w:rPr>
        <w:t>G</w:t>
      </w:r>
      <w:r w:rsidRPr="00DA5FAF">
        <w:rPr>
          <w:rFonts w:ascii="Century Gothic" w:hAnsi="Century Gothic"/>
          <w:b/>
          <w:sz w:val="18"/>
          <w:szCs w:val="18"/>
          <w:lang w:val="fr-CI"/>
        </w:rPr>
        <w:t xml:space="preserve">uichet 6 « START-UP BOOST CAPITAL » </w:t>
      </w:r>
      <w:r w:rsidRPr="00DA5FAF">
        <w:rPr>
          <w:rFonts w:ascii="Century Gothic" w:hAnsi="Century Gothic"/>
          <w:sz w:val="18"/>
          <w:szCs w:val="18"/>
          <w:lang w:val="fr-CI"/>
        </w:rPr>
        <w:t>offre l’opportunité du financement et d'encadrement de start-ups formelles justifiant d'une existence minimum de deux années</w:t>
      </w:r>
      <w:r>
        <w:rPr>
          <w:rFonts w:ascii="Century Gothic" w:hAnsi="Century Gothic"/>
          <w:sz w:val="18"/>
          <w:szCs w:val="18"/>
          <w:lang w:val="fr-CI"/>
        </w:rPr>
        <w:t>,</w:t>
      </w:r>
      <w:r w:rsidRPr="00DA5FAF">
        <w:rPr>
          <w:rFonts w:ascii="Century Gothic" w:hAnsi="Century Gothic"/>
          <w:sz w:val="18"/>
          <w:szCs w:val="18"/>
          <w:lang w:val="fr-CI"/>
        </w:rPr>
        <w:t xml:space="preserve"> et d’un fort potentiel d’innovation et de création d’emplois, pour des besoins de financement compris entre 100 000 et 50 Millions FCFA. </w:t>
      </w:r>
    </w:p>
    <w:p w14:paraId="523CD63B" w14:textId="77777777" w:rsidR="002E463D" w:rsidRDefault="002E463D" w:rsidP="002E463D">
      <w:pPr>
        <w:pStyle w:val="Paragraphedeliste"/>
        <w:jc w:val="both"/>
        <w:rPr>
          <w:rFonts w:ascii="Century Gothic" w:hAnsi="Century Gothic"/>
          <w:b/>
          <w:color w:val="002060"/>
          <w:sz w:val="20"/>
          <w:lang w:val="fr-CI"/>
        </w:rPr>
      </w:pPr>
    </w:p>
    <w:p w14:paraId="5ED2381B" w14:textId="2648CF13" w:rsidR="00BF14BA" w:rsidRDefault="00BF14BA" w:rsidP="00BF14BA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b/>
          <w:color w:val="002060"/>
          <w:sz w:val="20"/>
          <w:lang w:val="fr-CI"/>
        </w:rPr>
      </w:pPr>
      <w:r w:rsidRPr="007740DF">
        <w:rPr>
          <w:rFonts w:ascii="Century Gothic" w:hAnsi="Century Gothic"/>
          <w:b/>
          <w:color w:val="002060"/>
          <w:sz w:val="20"/>
          <w:lang w:val="fr-CI"/>
        </w:rPr>
        <w:t xml:space="preserve">Conditions et </w:t>
      </w:r>
      <w:r>
        <w:rPr>
          <w:rFonts w:ascii="Century Gothic" w:hAnsi="Century Gothic"/>
          <w:b/>
          <w:color w:val="002060"/>
          <w:sz w:val="20"/>
          <w:lang w:val="fr-CI"/>
        </w:rPr>
        <w:t>c</w:t>
      </w:r>
      <w:r w:rsidRPr="007740DF">
        <w:rPr>
          <w:rFonts w:ascii="Century Gothic" w:hAnsi="Century Gothic"/>
          <w:b/>
          <w:color w:val="002060"/>
          <w:sz w:val="20"/>
          <w:lang w:val="fr-CI"/>
        </w:rPr>
        <w:t>ritères d’éligibilité</w:t>
      </w:r>
      <w:r>
        <w:rPr>
          <w:rFonts w:ascii="Century Gothic" w:hAnsi="Century Gothic"/>
          <w:b/>
          <w:color w:val="002060"/>
          <w:sz w:val="20"/>
          <w:lang w:val="fr-CI"/>
        </w:rPr>
        <w:t xml:space="preserve"> </w:t>
      </w:r>
      <w:r w:rsidR="002C1D90">
        <w:rPr>
          <w:rFonts w:ascii="Century Gothic" w:hAnsi="Century Gothic"/>
          <w:b/>
          <w:color w:val="002060"/>
          <w:sz w:val="20"/>
          <w:lang w:val="fr-CI"/>
        </w:rPr>
        <w:t xml:space="preserve">générales </w:t>
      </w:r>
      <w:r>
        <w:rPr>
          <w:rFonts w:ascii="Century Gothic" w:hAnsi="Century Gothic"/>
          <w:b/>
          <w:color w:val="002060"/>
          <w:sz w:val="20"/>
          <w:lang w:val="fr-CI"/>
        </w:rPr>
        <w:t>:</w:t>
      </w:r>
    </w:p>
    <w:p w14:paraId="7AA7FE2E" w14:textId="77777777" w:rsidR="000163DD" w:rsidRPr="002E463D" w:rsidRDefault="000163DD" w:rsidP="000163DD">
      <w:pPr>
        <w:pStyle w:val="Paragraphedeliste"/>
        <w:jc w:val="both"/>
        <w:rPr>
          <w:rFonts w:ascii="Century Gothic" w:hAnsi="Century Gothic"/>
          <w:b/>
          <w:color w:val="002060"/>
          <w:sz w:val="16"/>
          <w:szCs w:val="16"/>
          <w:lang w:val="fr-CI"/>
        </w:rPr>
      </w:pPr>
    </w:p>
    <w:p w14:paraId="009CB705" w14:textId="4778DF6B" w:rsidR="000163DD" w:rsidRPr="007740DF" w:rsidRDefault="000163DD" w:rsidP="000163DD">
      <w:pPr>
        <w:pStyle w:val="Paragraphedeliste"/>
        <w:numPr>
          <w:ilvl w:val="0"/>
          <w:numId w:val="16"/>
        </w:numPr>
        <w:jc w:val="both"/>
        <w:rPr>
          <w:rFonts w:ascii="Century Gothic" w:hAnsi="Century Gothic"/>
          <w:b/>
          <w:color w:val="002060"/>
          <w:sz w:val="20"/>
          <w:lang w:val="fr-CI"/>
        </w:rPr>
      </w:pPr>
      <w:bookmarkStart w:id="1" w:name="_Hlk121912785"/>
      <w:r>
        <w:rPr>
          <w:rFonts w:ascii="Century Gothic" w:hAnsi="Century Gothic"/>
          <w:b/>
          <w:color w:val="002060"/>
          <w:sz w:val="20"/>
          <w:lang w:val="fr-CI"/>
        </w:rPr>
        <w:t>Conditions générales :</w:t>
      </w:r>
    </w:p>
    <w:bookmarkEnd w:id="0"/>
    <w:bookmarkEnd w:id="1"/>
    <w:p w14:paraId="645310F2" w14:textId="77777777" w:rsidR="00BF14BA" w:rsidRPr="007740DF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 w:rsidRPr="007740DF">
        <w:rPr>
          <w:rFonts w:ascii="Century Gothic" w:hAnsi="Century Gothic"/>
          <w:sz w:val="20"/>
          <w:szCs w:val="20"/>
          <w:lang w:val="fr-CI"/>
        </w:rPr>
        <w:t>Être ivoirien ;</w:t>
      </w:r>
    </w:p>
    <w:p w14:paraId="61BDF0AC" w14:textId="77777777" w:rsidR="00BF14BA" w:rsidRPr="007740DF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>
        <w:rPr>
          <w:rFonts w:ascii="Century Gothic" w:hAnsi="Century Gothic"/>
          <w:sz w:val="20"/>
          <w:szCs w:val="20"/>
          <w:lang w:val="fr-CI"/>
        </w:rPr>
        <w:t>Être âgé de 18 à 40 ans</w:t>
      </w:r>
      <w:r w:rsidRPr="007740DF">
        <w:rPr>
          <w:rFonts w:ascii="Century Gothic" w:hAnsi="Century Gothic"/>
          <w:sz w:val="20"/>
          <w:szCs w:val="20"/>
          <w:lang w:val="fr-CI"/>
        </w:rPr>
        <w:t> ;</w:t>
      </w:r>
    </w:p>
    <w:p w14:paraId="4EC6F1BE" w14:textId="45D113C9" w:rsidR="00BF14BA" w:rsidRPr="007740DF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 w:rsidRPr="007740DF">
        <w:rPr>
          <w:rFonts w:ascii="Century Gothic" w:hAnsi="Century Gothic"/>
          <w:sz w:val="20"/>
          <w:szCs w:val="20"/>
          <w:lang w:val="fr-CI"/>
        </w:rPr>
        <w:t>Être inscrit sur la plateforme de l’Agence Emploi Jeunes (</w:t>
      </w:r>
      <w:hyperlink r:id="rId10" w:history="1">
        <w:r w:rsidR="00D17D83" w:rsidRPr="00CB32F2">
          <w:rPr>
            <w:rStyle w:val="Lienhypertexte"/>
            <w:rFonts w:ascii="Century Gothic" w:hAnsi="Century Gothic"/>
            <w:sz w:val="20"/>
            <w:szCs w:val="20"/>
            <w:lang w:val="fr-CI"/>
          </w:rPr>
          <w:t>www.agenceemploijeunes.ci</w:t>
        </w:r>
      </w:hyperlink>
      <w:r w:rsidRPr="007740DF">
        <w:rPr>
          <w:rFonts w:ascii="Century Gothic" w:hAnsi="Century Gothic"/>
          <w:sz w:val="20"/>
          <w:szCs w:val="20"/>
          <w:lang w:val="fr-CI"/>
        </w:rPr>
        <w:t>) ;</w:t>
      </w:r>
    </w:p>
    <w:p w14:paraId="4134D825" w14:textId="5F1F0857" w:rsidR="00BF14BA" w:rsidRPr="007740DF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 w:rsidRPr="007740DF">
        <w:rPr>
          <w:rFonts w:ascii="Century Gothic" w:hAnsi="Century Gothic"/>
          <w:sz w:val="20"/>
          <w:szCs w:val="20"/>
          <w:lang w:val="fr-CI"/>
        </w:rPr>
        <w:t xml:space="preserve">Avoir un besoin de financement compris dans les tranches indiquées </w:t>
      </w:r>
      <w:r w:rsidR="00B0231C">
        <w:rPr>
          <w:rFonts w:ascii="Century Gothic" w:hAnsi="Century Gothic"/>
          <w:sz w:val="20"/>
          <w:szCs w:val="20"/>
          <w:lang w:val="fr-CI"/>
        </w:rPr>
        <w:t>dans</w:t>
      </w:r>
      <w:r w:rsidRPr="007740DF">
        <w:rPr>
          <w:rFonts w:ascii="Century Gothic" w:hAnsi="Century Gothic"/>
          <w:sz w:val="20"/>
          <w:szCs w:val="20"/>
          <w:lang w:val="fr-CI"/>
        </w:rPr>
        <w:t xml:space="preserve"> le </w:t>
      </w:r>
      <w:r>
        <w:rPr>
          <w:rFonts w:ascii="Century Gothic" w:hAnsi="Century Gothic"/>
          <w:sz w:val="20"/>
          <w:szCs w:val="20"/>
          <w:lang w:val="fr-CI"/>
        </w:rPr>
        <w:t>guichet</w:t>
      </w:r>
      <w:r w:rsidRPr="007740DF">
        <w:rPr>
          <w:rFonts w:ascii="Century Gothic" w:hAnsi="Century Gothic"/>
          <w:sz w:val="20"/>
          <w:szCs w:val="20"/>
          <w:lang w:val="fr-CI"/>
        </w:rPr>
        <w:t> ;</w:t>
      </w:r>
    </w:p>
    <w:p w14:paraId="2354E048" w14:textId="77777777" w:rsidR="00BF14BA" w:rsidRPr="007740DF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 w:rsidRPr="007740DF">
        <w:rPr>
          <w:rFonts w:ascii="Century Gothic" w:hAnsi="Century Gothic"/>
          <w:sz w:val="20"/>
          <w:szCs w:val="20"/>
          <w:lang w:val="fr-CI"/>
        </w:rPr>
        <w:t>Justifier d’une formation et/ou d’une expérience dans l’activité envisagée ;</w:t>
      </w:r>
    </w:p>
    <w:p w14:paraId="0A2CDFA9" w14:textId="77777777" w:rsidR="00BF14BA" w:rsidRDefault="00BF14BA" w:rsidP="00BF14BA">
      <w:pPr>
        <w:pStyle w:val="Paragraphedeliste"/>
        <w:numPr>
          <w:ilvl w:val="0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Century Gothic" w:hAnsi="Century Gothic"/>
          <w:sz w:val="20"/>
          <w:szCs w:val="20"/>
          <w:lang w:val="fr-CI"/>
        </w:rPr>
      </w:pPr>
      <w:r w:rsidRPr="007740DF">
        <w:rPr>
          <w:rFonts w:ascii="Century Gothic" w:hAnsi="Century Gothic"/>
          <w:sz w:val="20"/>
          <w:szCs w:val="20"/>
          <w:lang w:val="fr-CI"/>
        </w:rPr>
        <w:t>Résider ou s’engager à résider dans la localité d’implantation de l’activité.</w:t>
      </w:r>
    </w:p>
    <w:p w14:paraId="78940C38" w14:textId="0BDC38AF" w:rsidR="00BF14BA" w:rsidRPr="002E463D" w:rsidRDefault="00BF14BA" w:rsidP="00005C84">
      <w:pPr>
        <w:spacing w:after="0"/>
        <w:jc w:val="both"/>
        <w:rPr>
          <w:rFonts w:ascii="Century Gothic" w:hAnsi="Century Gothic"/>
          <w:b/>
          <w:color w:val="ED7D31" w:themeColor="accent2"/>
          <w:sz w:val="10"/>
          <w:szCs w:val="10"/>
          <w:lang w:val="fr-CI"/>
        </w:rPr>
      </w:pPr>
    </w:p>
    <w:p w14:paraId="32236999" w14:textId="08C4A725" w:rsidR="000163DD" w:rsidRPr="007740DF" w:rsidRDefault="000163DD" w:rsidP="000163DD">
      <w:pPr>
        <w:pStyle w:val="Paragraphedeliste"/>
        <w:numPr>
          <w:ilvl w:val="0"/>
          <w:numId w:val="16"/>
        </w:numPr>
        <w:jc w:val="both"/>
        <w:rPr>
          <w:rFonts w:ascii="Century Gothic" w:hAnsi="Century Gothic"/>
          <w:b/>
          <w:color w:val="002060"/>
          <w:sz w:val="20"/>
          <w:lang w:val="fr-CI"/>
        </w:rPr>
      </w:pPr>
      <w:r>
        <w:rPr>
          <w:rFonts w:ascii="Century Gothic" w:hAnsi="Century Gothic"/>
          <w:b/>
          <w:color w:val="002060"/>
          <w:sz w:val="20"/>
          <w:lang w:val="fr-CI"/>
        </w:rPr>
        <w:t xml:space="preserve">Conditions spécifiques : 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7508"/>
      </w:tblGrid>
      <w:tr w:rsidR="000163DD" w:rsidRPr="00D17D83" w14:paraId="737BF369" w14:textId="77777777" w:rsidTr="00DC6B46">
        <w:trPr>
          <w:trHeight w:val="758"/>
        </w:trPr>
        <w:tc>
          <w:tcPr>
            <w:tcW w:w="6379" w:type="dxa"/>
            <w:shd w:val="clear" w:color="auto" w:fill="auto"/>
            <w:noWrap/>
          </w:tcPr>
          <w:p w14:paraId="379A35F4" w14:textId="77777777" w:rsidR="000163DD" w:rsidRDefault="000163DD" w:rsidP="00DC6B46">
            <w:pPr>
              <w:spacing w:after="0" w:line="276" w:lineRule="auto"/>
              <w:rPr>
                <w:rFonts w:ascii="Century Gothic" w:eastAsia="Times New Roman" w:hAnsi="Century Gothic" w:cs="Calibri"/>
                <w:b/>
                <w:color w:val="000000"/>
                <w:sz w:val="10"/>
                <w:szCs w:val="10"/>
                <w:lang w:val="fr-CI" w:eastAsia="fr-CI"/>
              </w:rPr>
            </w:pPr>
          </w:p>
          <w:p w14:paraId="32149FF1" w14:textId="77777777" w:rsidR="000163DD" w:rsidRDefault="000163DD" w:rsidP="00DC6B46">
            <w:pPr>
              <w:spacing w:after="0" w:line="276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val="fr-CI" w:eastAsia="fr-CI"/>
              </w:rPr>
            </w:pPr>
          </w:p>
          <w:p w14:paraId="5C48B345" w14:textId="77777777" w:rsidR="000163DD" w:rsidRPr="002E463D" w:rsidRDefault="000163DD" w:rsidP="00DC6B46">
            <w:pPr>
              <w:spacing w:after="0" w:line="276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val="fr-CI" w:eastAsia="fr-CI"/>
              </w:rPr>
            </w:pPr>
            <w:r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val="fr-CI" w:eastAsia="fr-CI"/>
              </w:rPr>
              <w:t xml:space="preserve">Guichet 6 : </w:t>
            </w:r>
            <w:r w:rsidRPr="002E463D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val="fr-CI" w:eastAsia="fr-CI"/>
              </w:rPr>
              <w:t>START-UP BOOST CAPITAL </w:t>
            </w:r>
          </w:p>
          <w:p w14:paraId="6C124C49" w14:textId="77777777" w:rsidR="000163DD" w:rsidRPr="008E69CF" w:rsidRDefault="000163DD" w:rsidP="00DC6B46">
            <w:pPr>
              <w:spacing w:after="0" w:line="276" w:lineRule="auto"/>
              <w:rPr>
                <w:rFonts w:ascii="Century Gothic" w:eastAsia="Times New Roman" w:hAnsi="Century Gothic" w:cs="Calibri"/>
                <w:b/>
                <w:color w:val="000000"/>
                <w:sz w:val="10"/>
                <w:szCs w:val="10"/>
                <w:lang w:val="fr-CI" w:eastAsia="fr-CI"/>
              </w:rPr>
            </w:pPr>
          </w:p>
          <w:p w14:paraId="15056DC8" w14:textId="77777777" w:rsidR="000163DD" w:rsidRDefault="000163DD" w:rsidP="00DC6B46">
            <w:pPr>
              <w:pStyle w:val="Paragraphedeliste"/>
              <w:numPr>
                <w:ilvl w:val="0"/>
                <w:numId w:val="18"/>
              </w:numPr>
              <w:spacing w:after="0" w:line="276" w:lineRule="auto"/>
              <w:ind w:left="633" w:hanging="273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F02CEB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jeunes entrepreneurs de l</w:t>
            </w:r>
            <w:r w:rsidRPr="00F02CEB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’association </w:t>
            </w:r>
            <w:r w:rsidRPr="008E69C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#CI20 ;</w:t>
            </w:r>
          </w:p>
          <w:p w14:paraId="0C513C72" w14:textId="77777777" w:rsidR="000163DD" w:rsidRPr="008E69CF" w:rsidRDefault="000163DD" w:rsidP="00DC6B46">
            <w:pPr>
              <w:pStyle w:val="Paragraphedeliste"/>
              <w:spacing w:after="0" w:line="276" w:lineRule="auto"/>
              <w:ind w:left="633"/>
              <w:jc w:val="both"/>
              <w:rPr>
                <w:rFonts w:ascii="Century Gothic" w:eastAsia="Times New Roman" w:hAnsi="Century Gothic" w:cs="Times New Roman"/>
                <w:sz w:val="10"/>
                <w:szCs w:val="10"/>
                <w:lang w:val="fr-CI" w:eastAsia="fr-FR"/>
              </w:rPr>
            </w:pPr>
          </w:p>
          <w:p w14:paraId="23888A07" w14:textId="77777777" w:rsidR="000163DD" w:rsidRDefault="000163DD" w:rsidP="00DC6B46">
            <w:pPr>
              <w:pStyle w:val="Paragraphedeliste"/>
              <w:numPr>
                <w:ilvl w:val="0"/>
                <w:numId w:val="18"/>
              </w:numPr>
              <w:spacing w:after="0" w:line="276" w:lineRule="auto"/>
              <w:ind w:left="633" w:hanging="273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jeunes entrepreneurs </w:t>
            </w:r>
            <w:r w:rsidRPr="00F02CEB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d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’</w:t>
            </w:r>
            <w:r w:rsidRPr="00F02CEB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entreprises innovantes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 issus de </w:t>
            </w:r>
          </w:p>
          <w:p w14:paraId="4823F341" w14:textId="77777777" w:rsidR="000163DD" w:rsidRPr="00F02CEB" w:rsidRDefault="000163DD" w:rsidP="00DC6B46">
            <w:pPr>
              <w:pStyle w:val="Paragraphedeliste"/>
              <w:spacing w:after="0" w:line="276" w:lineRule="auto"/>
              <w:ind w:left="633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F02CEB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la plateforme technologique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 de l’Agence Emploi Jeunes</w:t>
            </w:r>
          </w:p>
          <w:p w14:paraId="2637CDBF" w14:textId="77777777" w:rsidR="000163DD" w:rsidRPr="00DA5FAF" w:rsidRDefault="000163DD" w:rsidP="00DC6B46">
            <w:pPr>
              <w:spacing w:after="0" w:line="276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val="fr-CI" w:eastAsia="fr-CI"/>
              </w:rPr>
            </w:pPr>
          </w:p>
        </w:tc>
        <w:tc>
          <w:tcPr>
            <w:tcW w:w="7508" w:type="dxa"/>
          </w:tcPr>
          <w:p w14:paraId="45DCD6A7" w14:textId="77777777" w:rsidR="000163DD" w:rsidRDefault="000163DD" w:rsidP="00DC6B46">
            <w:pPr>
              <w:spacing w:after="0" w:line="276" w:lineRule="auto"/>
              <w:jc w:val="both"/>
              <w:rPr>
                <w:rFonts w:ascii="Century Gothic" w:eastAsia="Times New Roman" w:hAnsi="Century Gothic" w:cs="Calibri"/>
                <w:color w:val="000000"/>
                <w:sz w:val="10"/>
                <w:szCs w:val="10"/>
                <w:lang w:val="fr-CI" w:eastAsia="fr-FR"/>
              </w:rPr>
            </w:pPr>
          </w:p>
          <w:p w14:paraId="44239C56" w14:textId="1A6CBBDE" w:rsidR="000163DD" w:rsidRPr="002F29B6" w:rsidRDefault="000163DD" w:rsidP="00DC6B46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</w:pPr>
            <w:r w:rsidRPr="002F29B6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 xml:space="preserve">Montant compris entre </w:t>
            </w:r>
            <w:r w:rsidR="00D17D83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>5,1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 xml:space="preserve"> mill</w:t>
            </w:r>
            <w:r w:rsidR="00D17D83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>ions</w:t>
            </w:r>
            <w:r w:rsidRPr="002F29B6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 xml:space="preserve"> et 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>5</w:t>
            </w:r>
            <w:r w:rsidRPr="002F29B6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fr-CI" w:eastAsia="fr-FR"/>
              </w:rPr>
              <w:t xml:space="preserve">0 millions F CFA </w:t>
            </w:r>
          </w:p>
          <w:p w14:paraId="253156A7" w14:textId="77777777" w:rsidR="000163DD" w:rsidRPr="002F29B6" w:rsidRDefault="000163DD" w:rsidP="00DC6B46">
            <w:pPr>
              <w:pStyle w:val="Sansinterligne"/>
              <w:rPr>
                <w:sz w:val="10"/>
                <w:szCs w:val="10"/>
                <w:lang w:val="fr-CI" w:eastAsia="fr-FR"/>
              </w:rPr>
            </w:pPr>
          </w:p>
          <w:p w14:paraId="70D5FC1D" w14:textId="77777777" w:rsidR="000163DD" w:rsidRPr="00B50CCF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5" w:hanging="142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Jeunes entrepreneurs </w:t>
            </w:r>
            <w:r w:rsidR="00B50CCF"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FR" w:eastAsia="fr-FR"/>
              </w:rPr>
              <w:t>de l</w:t>
            </w:r>
            <w:r w:rsidR="00B50CCF"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’association #CI20</w:t>
            </w:r>
            <w:r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, et jeunes entrepreneurs d’entreprises innovantes issus de la plateforme technologique de l’Agence Emploi Jeunes, activité</w:t>
            </w:r>
            <w:r w:rsidRPr="00B50CCF">
              <w:rPr>
                <w:rFonts w:ascii="Century Gothic" w:hAnsi="Century Gothic"/>
                <w:sz w:val="18"/>
                <w:szCs w:val="18"/>
                <w:lang w:val="fr-CI"/>
              </w:rPr>
              <w:t xml:space="preserve"> avec </w:t>
            </w:r>
            <w:r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deux années d’existence minimum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, </w:t>
            </w:r>
            <w:r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FR" w:eastAsia="fr-FR"/>
              </w:rPr>
              <w:t xml:space="preserve">évoluant sur le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FR" w:eastAsia="fr-FR"/>
              </w:rPr>
              <w:t xml:space="preserve">même </w:t>
            </w:r>
            <w:r w:rsidRPr="00B50CC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FR" w:eastAsia="fr-FR"/>
              </w:rPr>
              <w:t>segment de marché (start-up, tech, etc.) ;</w:t>
            </w:r>
          </w:p>
          <w:p w14:paraId="5C35CE42" w14:textId="77777777" w:rsidR="000163DD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9" w:hanging="215"/>
              <w:contextualSpacing w:val="0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Type : crédit moyen terme ;</w:t>
            </w:r>
          </w:p>
          <w:p w14:paraId="17369F35" w14:textId="77777777" w:rsidR="000163DD" w:rsidRPr="00400D1D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9" w:hanging="215"/>
              <w:contextualSpacing w:val="0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 w:rsidRPr="00400D1D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Durée du remboursement :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entre 12</w:t>
            </w:r>
            <w:r w:rsidRPr="00400D1D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et 60 </w:t>
            </w:r>
            <w:r w:rsidRPr="00400D1D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mois maximum ;</w:t>
            </w:r>
          </w:p>
          <w:p w14:paraId="258676F1" w14:textId="77777777" w:rsidR="000163DD" w:rsidRPr="00400D1D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9" w:hanging="215"/>
              <w:contextualSpacing w:val="0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 w:rsidRPr="00400D1D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Taux d’intérêt : 8%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l’an ; </w:t>
            </w:r>
          </w:p>
          <w:p w14:paraId="328DC85A" w14:textId="77777777" w:rsidR="000163DD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9" w:hanging="215"/>
              <w:contextualSpacing w:val="0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 w:rsidRPr="00400D1D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Échéance : mensuelle (peut être adaptée selon l’activité)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> ;</w:t>
            </w:r>
          </w:p>
          <w:p w14:paraId="044C0582" w14:textId="77777777" w:rsidR="000163DD" w:rsidRPr="008E69CF" w:rsidRDefault="000163DD" w:rsidP="00DC6B46">
            <w:pPr>
              <w:pStyle w:val="Paragraphedeliste"/>
              <w:numPr>
                <w:ilvl w:val="0"/>
                <w:numId w:val="5"/>
              </w:numPr>
              <w:spacing w:after="60" w:line="240" w:lineRule="auto"/>
              <w:ind w:left="209" w:hanging="215"/>
              <w:contextualSpacing w:val="0"/>
              <w:jc w:val="both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fr-CI" w:eastAsia="fr-FR"/>
              </w:rPr>
              <w:t xml:space="preserve">Secteurs d’activités : tous secteurs d’activités économiques axés dur l’innovation </w:t>
            </w:r>
          </w:p>
        </w:tc>
      </w:tr>
    </w:tbl>
    <w:p w14:paraId="07892D36" w14:textId="3498181B" w:rsidR="000163DD" w:rsidRDefault="000163DD" w:rsidP="00005C84">
      <w:pPr>
        <w:spacing w:after="0"/>
        <w:jc w:val="both"/>
        <w:rPr>
          <w:rFonts w:ascii="Century Gothic" w:hAnsi="Century Gothic"/>
          <w:b/>
          <w:color w:val="ED7D31" w:themeColor="accent2"/>
          <w:sz w:val="16"/>
          <w:szCs w:val="16"/>
          <w:lang w:val="fr-CI"/>
        </w:rPr>
      </w:pPr>
    </w:p>
    <w:p w14:paraId="49E19315" w14:textId="6DD46D36" w:rsidR="000163DD" w:rsidRDefault="000163DD" w:rsidP="00005C84">
      <w:pPr>
        <w:spacing w:after="0"/>
        <w:jc w:val="both"/>
        <w:rPr>
          <w:rFonts w:ascii="Century Gothic" w:hAnsi="Century Gothic"/>
          <w:b/>
          <w:color w:val="ED7D31" w:themeColor="accent2"/>
          <w:sz w:val="16"/>
          <w:szCs w:val="16"/>
          <w:lang w:val="fr-CI"/>
        </w:rPr>
      </w:pPr>
    </w:p>
    <w:p w14:paraId="2C8CEB50" w14:textId="27DDE056" w:rsidR="002C1D90" w:rsidRPr="007740DF" w:rsidRDefault="002C1D90" w:rsidP="009D2D8B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b/>
          <w:color w:val="002060"/>
          <w:sz w:val="20"/>
          <w:lang w:val="fr-CI"/>
        </w:rPr>
      </w:pPr>
      <w:r>
        <w:rPr>
          <w:rFonts w:ascii="Century Gothic" w:hAnsi="Century Gothic"/>
          <w:b/>
          <w:color w:val="002060"/>
          <w:sz w:val="20"/>
          <w:lang w:val="fr-CI"/>
        </w:rPr>
        <w:lastRenderedPageBreak/>
        <w:t xml:space="preserve">Mode opératoire / Process : </w:t>
      </w:r>
    </w:p>
    <w:tbl>
      <w:tblPr>
        <w:tblW w:w="1465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3163"/>
        <w:gridCol w:w="2759"/>
        <w:gridCol w:w="2196"/>
        <w:gridCol w:w="4608"/>
      </w:tblGrid>
      <w:tr w:rsidR="00DA5FAF" w:rsidRPr="00D17D83" w14:paraId="4E468740" w14:textId="77777777" w:rsidTr="00DA5FAF">
        <w:trPr>
          <w:trHeight w:val="317"/>
          <w:jc w:val="center"/>
        </w:trPr>
        <w:tc>
          <w:tcPr>
            <w:tcW w:w="1933" w:type="dxa"/>
            <w:shd w:val="clear" w:color="auto" w:fill="E2EFD9"/>
            <w:noWrap/>
            <w:hideMark/>
          </w:tcPr>
          <w:p w14:paraId="1CB2068C" w14:textId="77777777" w:rsidR="00DA5FAF" w:rsidRPr="00DA5FAF" w:rsidRDefault="00DA5FAF" w:rsidP="00DA5FA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  <w:t>Etapes clés</w:t>
            </w:r>
          </w:p>
        </w:tc>
        <w:tc>
          <w:tcPr>
            <w:tcW w:w="3163" w:type="dxa"/>
            <w:shd w:val="clear" w:color="auto" w:fill="E2EFD9"/>
          </w:tcPr>
          <w:p w14:paraId="74B1EE51" w14:textId="77777777" w:rsidR="00DA5FAF" w:rsidRPr="00DA5FAF" w:rsidRDefault="00DA5FAF" w:rsidP="00DA5FA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  <w:t>Description</w:t>
            </w:r>
          </w:p>
        </w:tc>
        <w:tc>
          <w:tcPr>
            <w:tcW w:w="2759" w:type="dxa"/>
            <w:shd w:val="clear" w:color="auto" w:fill="E2EFD9"/>
            <w:noWrap/>
            <w:hideMark/>
          </w:tcPr>
          <w:p w14:paraId="691081E0" w14:textId="77777777" w:rsidR="00DA5FAF" w:rsidRPr="00DA5FAF" w:rsidRDefault="00DA5FAF" w:rsidP="00DA5FA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  <w:t>Acteurs de mise en œuvre</w:t>
            </w:r>
          </w:p>
        </w:tc>
        <w:tc>
          <w:tcPr>
            <w:tcW w:w="2196" w:type="dxa"/>
            <w:shd w:val="clear" w:color="auto" w:fill="E2EFD9"/>
          </w:tcPr>
          <w:p w14:paraId="3953504F" w14:textId="77777777" w:rsidR="00DA5FAF" w:rsidRPr="00DA5FAF" w:rsidRDefault="00DA5FAF" w:rsidP="00DA5FA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  <w:t>Délai</w:t>
            </w:r>
          </w:p>
        </w:tc>
        <w:tc>
          <w:tcPr>
            <w:tcW w:w="4608" w:type="dxa"/>
            <w:shd w:val="clear" w:color="auto" w:fill="E2EFD9"/>
          </w:tcPr>
          <w:p w14:paraId="4C3CA9AF" w14:textId="77777777" w:rsidR="00DA5FAF" w:rsidRPr="00DA5FAF" w:rsidRDefault="00DA5FAF" w:rsidP="00DA5FA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4472C4"/>
                <w:sz w:val="18"/>
                <w:szCs w:val="18"/>
                <w:lang w:val="fr-FR" w:eastAsia="fr-FR"/>
              </w:rPr>
              <w:t>Dispositif de mitigation de risques</w:t>
            </w:r>
          </w:p>
        </w:tc>
      </w:tr>
      <w:tr w:rsidR="00DA5FAF" w:rsidRPr="00DA5FAF" w14:paraId="0B22D088" w14:textId="77777777" w:rsidTr="00DA5FAF">
        <w:trPr>
          <w:trHeight w:val="622"/>
          <w:jc w:val="center"/>
        </w:trPr>
        <w:tc>
          <w:tcPr>
            <w:tcW w:w="1933" w:type="dxa"/>
            <w:shd w:val="clear" w:color="auto" w:fill="auto"/>
            <w:noWrap/>
            <w:hideMark/>
          </w:tcPr>
          <w:p w14:paraId="02BF7294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1- inscription </w:t>
            </w:r>
          </w:p>
        </w:tc>
        <w:tc>
          <w:tcPr>
            <w:tcW w:w="3163" w:type="dxa"/>
          </w:tcPr>
          <w:p w14:paraId="059B4075" w14:textId="77777777" w:rsidR="00DA5FAF" w:rsidRPr="00DA5FAF" w:rsidRDefault="00DA5FAF" w:rsidP="00DA5FAF">
            <w:pPr>
              <w:spacing w:after="0" w:line="276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Inscription des </w:t>
            </w: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jeunes entrepreneurs de l</w:t>
            </w: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 xml:space="preserve">’association </w:t>
            </w:r>
            <w:r w:rsidRPr="00DA5FAF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fr-CI" w:eastAsia="fr-FR"/>
              </w:rPr>
              <w:t xml:space="preserve">#CI20 </w:t>
            </w: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et des entreprises innovantes, sur la plateforme technologique</w:t>
            </w:r>
          </w:p>
          <w:p w14:paraId="30046DD2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2759" w:type="dxa"/>
            <w:shd w:val="clear" w:color="auto" w:fill="auto"/>
            <w:noWrap/>
            <w:hideMark/>
          </w:tcPr>
          <w:p w14:paraId="34F5ED4B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Demandeurs – Agences régionales (CIP/AC)</w:t>
            </w:r>
          </w:p>
        </w:tc>
        <w:tc>
          <w:tcPr>
            <w:tcW w:w="2196" w:type="dxa"/>
          </w:tcPr>
          <w:p w14:paraId="599D22EF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30 jours</w:t>
            </w:r>
          </w:p>
        </w:tc>
        <w:tc>
          <w:tcPr>
            <w:tcW w:w="4608" w:type="dxa"/>
          </w:tcPr>
          <w:p w14:paraId="7C52145B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Mise à disposition de la BDD des inscrits et des dossiers de candidatures</w:t>
            </w:r>
          </w:p>
          <w:p w14:paraId="73E3F45F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Chef de service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</w:tc>
      </w:tr>
      <w:tr w:rsidR="00DA5FAF" w:rsidRPr="00DA5FAF" w14:paraId="7724E8EB" w14:textId="77777777" w:rsidTr="00DA5FAF">
        <w:trPr>
          <w:trHeight w:val="1136"/>
          <w:jc w:val="center"/>
        </w:trPr>
        <w:tc>
          <w:tcPr>
            <w:tcW w:w="1933" w:type="dxa"/>
            <w:shd w:val="clear" w:color="auto" w:fill="auto"/>
            <w:noWrap/>
          </w:tcPr>
          <w:p w14:paraId="51A6BA29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2- Présélection (Analyse financière et risques)</w:t>
            </w:r>
          </w:p>
        </w:tc>
        <w:tc>
          <w:tcPr>
            <w:tcW w:w="3163" w:type="dxa"/>
            <w:shd w:val="clear" w:color="auto" w:fill="auto"/>
          </w:tcPr>
          <w:p w14:paraId="04409F0C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Analyse de la viabilité du projet, de la rentabilité, proposition de montage financier, mitigation des facteurs de risques</w:t>
            </w:r>
          </w:p>
        </w:tc>
        <w:tc>
          <w:tcPr>
            <w:tcW w:w="2759" w:type="dxa"/>
            <w:shd w:val="clear" w:color="auto" w:fill="auto"/>
            <w:noWrap/>
          </w:tcPr>
          <w:p w14:paraId="3E225545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DPF (Analystes financiers et analystes risques)</w:t>
            </w:r>
          </w:p>
        </w:tc>
        <w:tc>
          <w:tcPr>
            <w:tcW w:w="2196" w:type="dxa"/>
            <w:shd w:val="clear" w:color="auto" w:fill="auto"/>
          </w:tcPr>
          <w:p w14:paraId="462DFD9A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7 jours ouvrables</w:t>
            </w:r>
          </w:p>
        </w:tc>
        <w:tc>
          <w:tcPr>
            <w:tcW w:w="4608" w:type="dxa"/>
          </w:tcPr>
          <w:p w14:paraId="6D66C5FF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Mise à jour des statuts, en parallèle, sur la plateforme</w:t>
            </w:r>
          </w:p>
          <w:p w14:paraId="1AC6CBAA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Analystes fin.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  <w:p w14:paraId="577FEE55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Contrôle, en parallèle, de la MAJ des statuts</w:t>
            </w:r>
          </w:p>
          <w:p w14:paraId="61E707D9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Chef de service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</w:tc>
      </w:tr>
      <w:tr w:rsidR="00DA5FAF" w:rsidRPr="00DA5FAF" w14:paraId="64F9DABE" w14:textId="77777777" w:rsidTr="00DA5FAF">
        <w:trPr>
          <w:trHeight w:val="878"/>
          <w:jc w:val="center"/>
        </w:trPr>
        <w:tc>
          <w:tcPr>
            <w:tcW w:w="1933" w:type="dxa"/>
            <w:shd w:val="clear" w:color="auto" w:fill="auto"/>
            <w:noWrap/>
          </w:tcPr>
          <w:p w14:paraId="5E087E73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3- Sélection</w:t>
            </w:r>
          </w:p>
        </w:tc>
        <w:tc>
          <w:tcPr>
            <w:tcW w:w="3163" w:type="dxa"/>
            <w:shd w:val="clear" w:color="auto" w:fill="auto"/>
          </w:tcPr>
          <w:p w14:paraId="06E7DE05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 xml:space="preserve">Sélection et transmission des projets viables au partenaire financière </w:t>
            </w:r>
          </w:p>
        </w:tc>
        <w:tc>
          <w:tcPr>
            <w:tcW w:w="2759" w:type="dxa"/>
            <w:shd w:val="clear" w:color="auto" w:fill="auto"/>
            <w:noWrap/>
          </w:tcPr>
          <w:p w14:paraId="083D09F0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Comité conjoint AEJ/CI20</w:t>
            </w:r>
          </w:p>
        </w:tc>
        <w:tc>
          <w:tcPr>
            <w:tcW w:w="2196" w:type="dxa"/>
            <w:shd w:val="clear" w:color="auto" w:fill="auto"/>
          </w:tcPr>
          <w:p w14:paraId="28B2DE6E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2 jours</w:t>
            </w:r>
          </w:p>
        </w:tc>
        <w:tc>
          <w:tcPr>
            <w:tcW w:w="4608" w:type="dxa"/>
          </w:tcPr>
          <w:p w14:paraId="710BFC2C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Mise à jour des statuts, en parallèle, sur la plateforme</w:t>
            </w:r>
          </w:p>
          <w:p w14:paraId="73D6187F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Analystes fin.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  <w:p w14:paraId="7776AB5B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Contrôle, en parallèle, de la MAJ des statuts</w:t>
            </w:r>
          </w:p>
          <w:p w14:paraId="1E98BF91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Chef de service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</w:tc>
      </w:tr>
      <w:tr w:rsidR="00DA5FAF" w:rsidRPr="00DA5FAF" w14:paraId="6AF02B98" w14:textId="77777777" w:rsidTr="00DA5FAF">
        <w:trPr>
          <w:trHeight w:val="630"/>
          <w:jc w:val="center"/>
        </w:trPr>
        <w:tc>
          <w:tcPr>
            <w:tcW w:w="1933" w:type="dxa"/>
            <w:shd w:val="clear" w:color="auto" w:fill="auto"/>
            <w:noWrap/>
          </w:tcPr>
          <w:p w14:paraId="60498649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4- Financement</w:t>
            </w:r>
          </w:p>
        </w:tc>
        <w:tc>
          <w:tcPr>
            <w:tcW w:w="3163" w:type="dxa"/>
          </w:tcPr>
          <w:p w14:paraId="7FB1817F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Validation et Mise en place des financements au profit des entreprises validées</w:t>
            </w:r>
          </w:p>
        </w:tc>
        <w:tc>
          <w:tcPr>
            <w:tcW w:w="2759" w:type="dxa"/>
            <w:shd w:val="clear" w:color="auto" w:fill="auto"/>
            <w:noWrap/>
          </w:tcPr>
          <w:p w14:paraId="57C1E351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Partenaire financier (Fin’ ELLE)</w:t>
            </w:r>
          </w:p>
        </w:tc>
        <w:tc>
          <w:tcPr>
            <w:tcW w:w="2196" w:type="dxa"/>
          </w:tcPr>
          <w:p w14:paraId="443A6FC5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3 jours ouvrables maximum</w:t>
            </w:r>
          </w:p>
        </w:tc>
        <w:tc>
          <w:tcPr>
            <w:tcW w:w="4608" w:type="dxa"/>
          </w:tcPr>
          <w:p w14:paraId="10DEAE23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Transmission de la BDD des entreprises validées et financées</w:t>
            </w:r>
          </w:p>
          <w:p w14:paraId="49CB38D3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b/>
                <w:bCs/>
                <w:color w:val="4472C4"/>
                <w:sz w:val="18"/>
                <w:szCs w:val="18"/>
                <w:lang w:val="fr-FR" w:eastAsia="fr-FR"/>
              </w:rPr>
              <w:t>(Fin’ ELLE)</w:t>
            </w:r>
          </w:p>
          <w:p w14:paraId="144FD4C4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Mise à jour des statuts, en parallèle, sur la plateforme</w:t>
            </w:r>
          </w:p>
          <w:p w14:paraId="55A21C13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Analystes fin.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  <w:p w14:paraId="471BD992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Contrôle, en parallèle, de la MAJ des statuts</w:t>
            </w:r>
          </w:p>
          <w:p w14:paraId="1276999F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(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Chef de service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</w:tc>
      </w:tr>
      <w:tr w:rsidR="00DA5FAF" w:rsidRPr="00D17D83" w14:paraId="1227113D" w14:textId="77777777" w:rsidTr="00DA5FAF">
        <w:trPr>
          <w:trHeight w:val="317"/>
          <w:jc w:val="center"/>
        </w:trPr>
        <w:tc>
          <w:tcPr>
            <w:tcW w:w="1933" w:type="dxa"/>
            <w:shd w:val="clear" w:color="auto" w:fill="auto"/>
            <w:noWrap/>
          </w:tcPr>
          <w:p w14:paraId="1AC56753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CI" w:eastAsia="fr-FR"/>
              </w:rPr>
              <w:t>5- Suivi post financement</w:t>
            </w:r>
          </w:p>
        </w:tc>
        <w:tc>
          <w:tcPr>
            <w:tcW w:w="3163" w:type="dxa"/>
          </w:tcPr>
          <w:p w14:paraId="22198D6E" w14:textId="77777777" w:rsidR="00DA5FAF" w:rsidRPr="00DA5FAF" w:rsidRDefault="00DA5FAF" w:rsidP="00DA5FAF">
            <w:pPr>
              <w:spacing w:after="0" w:line="276" w:lineRule="auto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Suivi de l’exploitation des entreprises et du remboursement des financements</w:t>
            </w:r>
          </w:p>
        </w:tc>
        <w:tc>
          <w:tcPr>
            <w:tcW w:w="2759" w:type="dxa"/>
            <w:shd w:val="clear" w:color="auto" w:fill="auto"/>
            <w:noWrap/>
          </w:tcPr>
          <w:p w14:paraId="49538A3B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 xml:space="preserve">Partenaire financier (Fin’ ELLE) – DESSE – DPF - Agences régionales AEJ – 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Partenaires techniques</w:t>
            </w:r>
          </w:p>
        </w:tc>
        <w:tc>
          <w:tcPr>
            <w:tcW w:w="2196" w:type="dxa"/>
          </w:tcPr>
          <w:p w14:paraId="24EAC809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sz w:val="18"/>
                <w:szCs w:val="18"/>
                <w:lang w:val="fr-FR" w:eastAsia="fr-FR"/>
              </w:rPr>
              <w:t>Continu</w:t>
            </w:r>
          </w:p>
        </w:tc>
        <w:tc>
          <w:tcPr>
            <w:tcW w:w="4608" w:type="dxa"/>
          </w:tcPr>
          <w:p w14:paraId="5E08C980" w14:textId="77777777" w:rsidR="00DA5FAF" w:rsidRPr="00DA5FAF" w:rsidRDefault="00DA5FAF" w:rsidP="00DA5FAF">
            <w:pPr>
              <w:spacing w:after="0" w:line="276" w:lineRule="auto"/>
              <w:jc w:val="center"/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</w:pP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Encadrement technique du promoteur (CN</w:t>
            </w:r>
            <w:r w:rsidRPr="00DA5FAF">
              <w:rPr>
                <w:rFonts w:ascii="Century Gothic" w:eastAsia="Times New Roman" w:hAnsi="Century Gothic" w:cs="Times New Roman"/>
                <w:b/>
                <w:color w:val="4472C4"/>
                <w:sz w:val="18"/>
                <w:szCs w:val="18"/>
                <w:lang w:val="fr-FR" w:eastAsia="fr-FR"/>
              </w:rPr>
              <w:t>CGA, Structures spécialisées publiques et/ou privées, CODEX-CI</w:t>
            </w:r>
            <w:r w:rsidRPr="00DA5FAF">
              <w:rPr>
                <w:rFonts w:ascii="Century Gothic" w:eastAsia="Times New Roman" w:hAnsi="Century Gothic" w:cs="Times New Roman"/>
                <w:color w:val="4472C4"/>
                <w:sz w:val="18"/>
                <w:szCs w:val="18"/>
                <w:lang w:val="fr-FR" w:eastAsia="fr-FR"/>
              </w:rPr>
              <w:t>)</w:t>
            </w:r>
          </w:p>
        </w:tc>
      </w:tr>
    </w:tbl>
    <w:p w14:paraId="3A82F1F9" w14:textId="5B695F92" w:rsidR="00E664AC" w:rsidRDefault="00E664AC" w:rsidP="003E0AA1">
      <w:pPr>
        <w:jc w:val="both"/>
        <w:rPr>
          <w:rFonts w:ascii="Century Gothic" w:hAnsi="Century Gothic"/>
          <w:sz w:val="24"/>
          <w:lang w:val="fr-CI"/>
        </w:rPr>
      </w:pPr>
    </w:p>
    <w:p w14:paraId="0B129791" w14:textId="77777777" w:rsidR="00FB57FB" w:rsidRPr="007740DF" w:rsidRDefault="00FB57FB" w:rsidP="003E0AA1">
      <w:pPr>
        <w:jc w:val="both"/>
        <w:rPr>
          <w:rFonts w:ascii="Century Gothic" w:hAnsi="Century Gothic"/>
          <w:sz w:val="24"/>
          <w:lang w:val="fr-CI"/>
        </w:rPr>
      </w:pPr>
    </w:p>
    <w:sectPr w:rsidR="00FB57FB" w:rsidRPr="007740DF" w:rsidSect="00D10E44">
      <w:footerReference w:type="default" r:id="rId11"/>
      <w:pgSz w:w="15840" w:h="12240" w:orient="landscape"/>
      <w:pgMar w:top="851" w:right="1417" w:bottom="709" w:left="993" w:header="708" w:footer="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39B4" w14:textId="77777777" w:rsidR="00282C14" w:rsidRDefault="00282C14" w:rsidP="00BE10C3">
      <w:pPr>
        <w:spacing w:after="0" w:line="240" w:lineRule="auto"/>
      </w:pPr>
      <w:r>
        <w:separator/>
      </w:r>
    </w:p>
  </w:endnote>
  <w:endnote w:type="continuationSeparator" w:id="0">
    <w:p w14:paraId="0FED79C6" w14:textId="77777777" w:rsidR="00282C14" w:rsidRDefault="00282C14" w:rsidP="00BE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2064" w14:textId="0BFE8BAD" w:rsidR="009373F7" w:rsidRPr="009373F7" w:rsidRDefault="009373F7">
    <w:pPr>
      <w:pStyle w:val="Pieddepage"/>
      <w:jc w:val="center"/>
      <w:rPr>
        <w:rFonts w:ascii="Century Gothic" w:hAnsi="Century Gothic"/>
        <w:sz w:val="20"/>
        <w:szCs w:val="20"/>
      </w:rPr>
    </w:pPr>
  </w:p>
  <w:p w14:paraId="44C76A2E" w14:textId="77777777" w:rsidR="00126F8E" w:rsidRDefault="00126F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0FE7" w14:textId="77777777" w:rsidR="00282C14" w:rsidRDefault="00282C14" w:rsidP="00BE10C3">
      <w:pPr>
        <w:spacing w:after="0" w:line="240" w:lineRule="auto"/>
      </w:pPr>
      <w:r>
        <w:separator/>
      </w:r>
    </w:p>
  </w:footnote>
  <w:footnote w:type="continuationSeparator" w:id="0">
    <w:p w14:paraId="12B5C0D9" w14:textId="77777777" w:rsidR="00282C14" w:rsidRDefault="00282C14" w:rsidP="00BE1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4pt;height:11.4pt" o:bullet="t">
        <v:imagedata r:id="rId1" o:title="mso486A"/>
      </v:shape>
    </w:pict>
  </w:numPicBullet>
  <w:abstractNum w:abstractNumId="0" w15:restartNumberingAfterBreak="0">
    <w:nsid w:val="013212C0"/>
    <w:multiLevelType w:val="hybridMultilevel"/>
    <w:tmpl w:val="E72E5804"/>
    <w:lvl w:ilvl="0" w:tplc="E8BAE6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0B75"/>
    <w:multiLevelType w:val="hybridMultilevel"/>
    <w:tmpl w:val="AF92F7E6"/>
    <w:lvl w:ilvl="0" w:tplc="BCD265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348"/>
    <w:multiLevelType w:val="hybridMultilevel"/>
    <w:tmpl w:val="F124AE1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B9A"/>
    <w:multiLevelType w:val="hybridMultilevel"/>
    <w:tmpl w:val="FBCC8986"/>
    <w:lvl w:ilvl="0" w:tplc="3B7C78A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1CA8"/>
    <w:multiLevelType w:val="hybridMultilevel"/>
    <w:tmpl w:val="351867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E5674"/>
    <w:multiLevelType w:val="hybridMultilevel"/>
    <w:tmpl w:val="FC1E91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640CD"/>
    <w:multiLevelType w:val="hybridMultilevel"/>
    <w:tmpl w:val="9536CDD4"/>
    <w:lvl w:ilvl="0" w:tplc="4FA283E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7168"/>
    <w:multiLevelType w:val="hybridMultilevel"/>
    <w:tmpl w:val="017C4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54979"/>
    <w:multiLevelType w:val="hybridMultilevel"/>
    <w:tmpl w:val="F124AE1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F414F"/>
    <w:multiLevelType w:val="hybridMultilevel"/>
    <w:tmpl w:val="F124AE1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B57A6"/>
    <w:multiLevelType w:val="hybridMultilevel"/>
    <w:tmpl w:val="8474C088"/>
    <w:lvl w:ilvl="0" w:tplc="171AC8A2">
      <w:start w:val="100"/>
      <w:numFmt w:val="bullet"/>
      <w:lvlText w:val="-"/>
      <w:lvlJc w:val="left"/>
      <w:pPr>
        <w:ind w:left="720" w:hanging="360"/>
      </w:pPr>
      <w:rPr>
        <w:rFonts w:ascii="Tw Cen MT" w:eastAsia="Times New Roman" w:hAnsi="Tw Cen M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7262B"/>
    <w:multiLevelType w:val="hybridMultilevel"/>
    <w:tmpl w:val="BB30C666"/>
    <w:lvl w:ilvl="0" w:tplc="1C08B7B8">
      <w:start w:val="100"/>
      <w:numFmt w:val="bullet"/>
      <w:lvlText w:val="-"/>
      <w:lvlJc w:val="left"/>
      <w:pPr>
        <w:ind w:left="720" w:hanging="360"/>
      </w:pPr>
      <w:rPr>
        <w:rFonts w:ascii="Tw Cen MT" w:eastAsia="Times New Roman" w:hAnsi="Tw Cen M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22387"/>
    <w:multiLevelType w:val="hybridMultilevel"/>
    <w:tmpl w:val="A73C1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4C34"/>
    <w:multiLevelType w:val="hybridMultilevel"/>
    <w:tmpl w:val="3E7A21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000A"/>
    <w:multiLevelType w:val="hybridMultilevel"/>
    <w:tmpl w:val="63AEA7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16A20"/>
    <w:multiLevelType w:val="hybridMultilevel"/>
    <w:tmpl w:val="509260CA"/>
    <w:lvl w:ilvl="0" w:tplc="A504141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74165"/>
    <w:multiLevelType w:val="hybridMultilevel"/>
    <w:tmpl w:val="28187E5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10DE0"/>
    <w:multiLevelType w:val="hybridMultilevel"/>
    <w:tmpl w:val="6C928A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92846">
    <w:abstractNumId w:val="13"/>
  </w:num>
  <w:num w:numId="2" w16cid:durableId="98305805">
    <w:abstractNumId w:val="0"/>
  </w:num>
  <w:num w:numId="3" w16cid:durableId="613367235">
    <w:abstractNumId w:val="16"/>
  </w:num>
  <w:num w:numId="4" w16cid:durableId="183441907">
    <w:abstractNumId w:val="10"/>
  </w:num>
  <w:num w:numId="5" w16cid:durableId="687099835">
    <w:abstractNumId w:val="11"/>
  </w:num>
  <w:num w:numId="6" w16cid:durableId="81798367">
    <w:abstractNumId w:val="17"/>
  </w:num>
  <w:num w:numId="7" w16cid:durableId="894967008">
    <w:abstractNumId w:val="7"/>
  </w:num>
  <w:num w:numId="8" w16cid:durableId="579993870">
    <w:abstractNumId w:val="5"/>
  </w:num>
  <w:num w:numId="9" w16cid:durableId="1113399110">
    <w:abstractNumId w:val="14"/>
  </w:num>
  <w:num w:numId="10" w16cid:durableId="662584814">
    <w:abstractNumId w:val="4"/>
  </w:num>
  <w:num w:numId="11" w16cid:durableId="1896695342">
    <w:abstractNumId w:val="9"/>
  </w:num>
  <w:num w:numId="12" w16cid:durableId="606236414">
    <w:abstractNumId w:val="2"/>
  </w:num>
  <w:num w:numId="13" w16cid:durableId="1654871434">
    <w:abstractNumId w:val="8"/>
  </w:num>
  <w:num w:numId="14" w16cid:durableId="1618022588">
    <w:abstractNumId w:val="3"/>
  </w:num>
  <w:num w:numId="15" w16cid:durableId="825904406">
    <w:abstractNumId w:val="15"/>
  </w:num>
  <w:num w:numId="16" w16cid:durableId="1315915781">
    <w:abstractNumId w:val="6"/>
  </w:num>
  <w:num w:numId="17" w16cid:durableId="857544352">
    <w:abstractNumId w:val="12"/>
  </w:num>
  <w:num w:numId="18" w16cid:durableId="5034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65"/>
    <w:rsid w:val="00005C84"/>
    <w:rsid w:val="0001210B"/>
    <w:rsid w:val="000163DD"/>
    <w:rsid w:val="000414AB"/>
    <w:rsid w:val="000442A4"/>
    <w:rsid w:val="00054652"/>
    <w:rsid w:val="00054E7D"/>
    <w:rsid w:val="00073237"/>
    <w:rsid w:val="000A2977"/>
    <w:rsid w:val="000B0293"/>
    <w:rsid w:val="00103E4B"/>
    <w:rsid w:val="0010541F"/>
    <w:rsid w:val="00121A75"/>
    <w:rsid w:val="00126F8E"/>
    <w:rsid w:val="001504CE"/>
    <w:rsid w:val="001541A7"/>
    <w:rsid w:val="00154BD8"/>
    <w:rsid w:val="00191C1C"/>
    <w:rsid w:val="001F5BF6"/>
    <w:rsid w:val="00200449"/>
    <w:rsid w:val="00203F57"/>
    <w:rsid w:val="00240C95"/>
    <w:rsid w:val="0025386A"/>
    <w:rsid w:val="00262DB1"/>
    <w:rsid w:val="0027383D"/>
    <w:rsid w:val="00275B6B"/>
    <w:rsid w:val="00282C14"/>
    <w:rsid w:val="00287C0C"/>
    <w:rsid w:val="0029693C"/>
    <w:rsid w:val="002A4500"/>
    <w:rsid w:val="002A4B8D"/>
    <w:rsid w:val="002C1D90"/>
    <w:rsid w:val="002D4BF0"/>
    <w:rsid w:val="002E0125"/>
    <w:rsid w:val="002E463D"/>
    <w:rsid w:val="002F29B6"/>
    <w:rsid w:val="002F485F"/>
    <w:rsid w:val="002F518F"/>
    <w:rsid w:val="002F720D"/>
    <w:rsid w:val="0030152A"/>
    <w:rsid w:val="00302642"/>
    <w:rsid w:val="00302AFC"/>
    <w:rsid w:val="0030575D"/>
    <w:rsid w:val="00314ACD"/>
    <w:rsid w:val="00321FC6"/>
    <w:rsid w:val="003261A6"/>
    <w:rsid w:val="0035655D"/>
    <w:rsid w:val="003651BA"/>
    <w:rsid w:val="003677FB"/>
    <w:rsid w:val="00386B16"/>
    <w:rsid w:val="00390AF1"/>
    <w:rsid w:val="003A26A8"/>
    <w:rsid w:val="003B2DDF"/>
    <w:rsid w:val="003B3042"/>
    <w:rsid w:val="003B76CE"/>
    <w:rsid w:val="003C14A0"/>
    <w:rsid w:val="003D4889"/>
    <w:rsid w:val="003E0AA1"/>
    <w:rsid w:val="003E14B9"/>
    <w:rsid w:val="00400D1D"/>
    <w:rsid w:val="00405114"/>
    <w:rsid w:val="0042061C"/>
    <w:rsid w:val="0042394B"/>
    <w:rsid w:val="00431F47"/>
    <w:rsid w:val="00432865"/>
    <w:rsid w:val="00433BE2"/>
    <w:rsid w:val="00433F9E"/>
    <w:rsid w:val="0047161D"/>
    <w:rsid w:val="00492206"/>
    <w:rsid w:val="004A4A24"/>
    <w:rsid w:val="004D0E25"/>
    <w:rsid w:val="00516C63"/>
    <w:rsid w:val="00532965"/>
    <w:rsid w:val="00584DE2"/>
    <w:rsid w:val="005E23F8"/>
    <w:rsid w:val="005E61A3"/>
    <w:rsid w:val="005F28F8"/>
    <w:rsid w:val="005F7337"/>
    <w:rsid w:val="005F7532"/>
    <w:rsid w:val="00601E5D"/>
    <w:rsid w:val="006065A9"/>
    <w:rsid w:val="00625E8D"/>
    <w:rsid w:val="0064108B"/>
    <w:rsid w:val="006A19D1"/>
    <w:rsid w:val="006D3573"/>
    <w:rsid w:val="006E237B"/>
    <w:rsid w:val="006E5410"/>
    <w:rsid w:val="006F184C"/>
    <w:rsid w:val="006F7C6D"/>
    <w:rsid w:val="00707D37"/>
    <w:rsid w:val="00710B95"/>
    <w:rsid w:val="007339E3"/>
    <w:rsid w:val="00740F65"/>
    <w:rsid w:val="00741D66"/>
    <w:rsid w:val="007740DF"/>
    <w:rsid w:val="007749E5"/>
    <w:rsid w:val="00791DB7"/>
    <w:rsid w:val="00797C3A"/>
    <w:rsid w:val="007B6B88"/>
    <w:rsid w:val="007C2AF5"/>
    <w:rsid w:val="007E56D6"/>
    <w:rsid w:val="007F25F4"/>
    <w:rsid w:val="007F445E"/>
    <w:rsid w:val="007F5E6F"/>
    <w:rsid w:val="00805487"/>
    <w:rsid w:val="008316D6"/>
    <w:rsid w:val="00841758"/>
    <w:rsid w:val="00852B2D"/>
    <w:rsid w:val="00864506"/>
    <w:rsid w:val="00881D7E"/>
    <w:rsid w:val="008850ED"/>
    <w:rsid w:val="00885F86"/>
    <w:rsid w:val="008E69CF"/>
    <w:rsid w:val="009046F9"/>
    <w:rsid w:val="00915419"/>
    <w:rsid w:val="009245D5"/>
    <w:rsid w:val="00924A17"/>
    <w:rsid w:val="009373F7"/>
    <w:rsid w:val="00952726"/>
    <w:rsid w:val="00964D30"/>
    <w:rsid w:val="00973A13"/>
    <w:rsid w:val="00990D2C"/>
    <w:rsid w:val="009A50E0"/>
    <w:rsid w:val="009B3530"/>
    <w:rsid w:val="009D2D8B"/>
    <w:rsid w:val="009D773B"/>
    <w:rsid w:val="009F0085"/>
    <w:rsid w:val="00A06E22"/>
    <w:rsid w:val="00A133AF"/>
    <w:rsid w:val="00A14BD6"/>
    <w:rsid w:val="00A20764"/>
    <w:rsid w:val="00A3349E"/>
    <w:rsid w:val="00A36FCC"/>
    <w:rsid w:val="00A67872"/>
    <w:rsid w:val="00A9306A"/>
    <w:rsid w:val="00AA005D"/>
    <w:rsid w:val="00AA7797"/>
    <w:rsid w:val="00AD7F91"/>
    <w:rsid w:val="00B0231C"/>
    <w:rsid w:val="00B17CD5"/>
    <w:rsid w:val="00B302AA"/>
    <w:rsid w:val="00B33F0F"/>
    <w:rsid w:val="00B50CCF"/>
    <w:rsid w:val="00B7517E"/>
    <w:rsid w:val="00B756E8"/>
    <w:rsid w:val="00B761BC"/>
    <w:rsid w:val="00BA324D"/>
    <w:rsid w:val="00BA4363"/>
    <w:rsid w:val="00BB439C"/>
    <w:rsid w:val="00BE10C3"/>
    <w:rsid w:val="00BF14BA"/>
    <w:rsid w:val="00BF39F3"/>
    <w:rsid w:val="00C0052D"/>
    <w:rsid w:val="00C07BF7"/>
    <w:rsid w:val="00C356A8"/>
    <w:rsid w:val="00C76CD6"/>
    <w:rsid w:val="00C81502"/>
    <w:rsid w:val="00C84B1F"/>
    <w:rsid w:val="00C95AB5"/>
    <w:rsid w:val="00CD603C"/>
    <w:rsid w:val="00CE6BD9"/>
    <w:rsid w:val="00CF69D6"/>
    <w:rsid w:val="00D10E44"/>
    <w:rsid w:val="00D16F5F"/>
    <w:rsid w:val="00D17D83"/>
    <w:rsid w:val="00D23146"/>
    <w:rsid w:val="00D26690"/>
    <w:rsid w:val="00D3354F"/>
    <w:rsid w:val="00D346B1"/>
    <w:rsid w:val="00D36467"/>
    <w:rsid w:val="00D43175"/>
    <w:rsid w:val="00D535FA"/>
    <w:rsid w:val="00D57240"/>
    <w:rsid w:val="00D873E5"/>
    <w:rsid w:val="00D94531"/>
    <w:rsid w:val="00DA0A5D"/>
    <w:rsid w:val="00DA5FAF"/>
    <w:rsid w:val="00DB5930"/>
    <w:rsid w:val="00DE2D94"/>
    <w:rsid w:val="00DE3DED"/>
    <w:rsid w:val="00DE5B10"/>
    <w:rsid w:val="00E104F1"/>
    <w:rsid w:val="00E13090"/>
    <w:rsid w:val="00E1764D"/>
    <w:rsid w:val="00E32791"/>
    <w:rsid w:val="00E601E9"/>
    <w:rsid w:val="00E664AC"/>
    <w:rsid w:val="00E6798F"/>
    <w:rsid w:val="00E779A7"/>
    <w:rsid w:val="00EA53F8"/>
    <w:rsid w:val="00EB523F"/>
    <w:rsid w:val="00EC33EF"/>
    <w:rsid w:val="00EE6641"/>
    <w:rsid w:val="00EF25F3"/>
    <w:rsid w:val="00EF3F9C"/>
    <w:rsid w:val="00EF588C"/>
    <w:rsid w:val="00EF6D98"/>
    <w:rsid w:val="00F02CEB"/>
    <w:rsid w:val="00F3350B"/>
    <w:rsid w:val="00F45067"/>
    <w:rsid w:val="00F75284"/>
    <w:rsid w:val="00F75457"/>
    <w:rsid w:val="00F75FE1"/>
    <w:rsid w:val="00F76278"/>
    <w:rsid w:val="00F81ABC"/>
    <w:rsid w:val="00F91007"/>
    <w:rsid w:val="00F968C0"/>
    <w:rsid w:val="00FB15FE"/>
    <w:rsid w:val="00FB29BC"/>
    <w:rsid w:val="00FB57FB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079C4"/>
  <w15:chartTrackingRefBased/>
  <w15:docId w15:val="{C9DE56DA-7976-49C4-8D48-48111FC0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References,Bullets,RM1,lp1,Liste de points,List Paragraph (numbered (a)),Table/Figure Heading,List Bullet Mary,Numbered Paragraph,Main numbered paragraph,Numbered List Paragraph,123 List Paragraph,List Paragraph nowy,Liste 1"/>
    <w:basedOn w:val="Normal"/>
    <w:link w:val="ParagraphedelisteCar"/>
    <w:uiPriority w:val="34"/>
    <w:qFormat/>
    <w:rsid w:val="00CD60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AF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1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10C3"/>
  </w:style>
  <w:style w:type="paragraph" w:styleId="Pieddepage">
    <w:name w:val="footer"/>
    <w:basedOn w:val="Normal"/>
    <w:link w:val="PieddepageCar"/>
    <w:uiPriority w:val="99"/>
    <w:unhideWhenUsed/>
    <w:rsid w:val="00BE1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10C3"/>
  </w:style>
  <w:style w:type="character" w:styleId="Marquedecommentaire">
    <w:name w:val="annotation reference"/>
    <w:basedOn w:val="Policepardfaut"/>
    <w:uiPriority w:val="99"/>
    <w:semiHidden/>
    <w:unhideWhenUsed/>
    <w:rsid w:val="00240C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0C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40C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0C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0C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C95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103E4B"/>
    <w:pPr>
      <w:spacing w:after="0" w:line="240" w:lineRule="auto"/>
    </w:pPr>
  </w:style>
  <w:style w:type="character" w:customStyle="1" w:styleId="ParagraphedelisteCar">
    <w:name w:val="Paragraphe de liste Car"/>
    <w:aliases w:val="References Car,Bullets Car,RM1 Car,lp1 Car,Liste de points Car,List Paragraph (numbered (a)) Car,Table/Figure Heading Car,List Bullet Mary Car,Numbered Paragraph Car,Main numbered paragraph Car,Numbered List Paragraph Car"/>
    <w:link w:val="Paragraphedeliste"/>
    <w:uiPriority w:val="34"/>
    <w:rsid w:val="00400D1D"/>
  </w:style>
  <w:style w:type="paragraph" w:styleId="Sansinterligne">
    <w:name w:val="No Spacing"/>
    <w:uiPriority w:val="1"/>
    <w:qFormat/>
    <w:rsid w:val="002F29B6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D1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genceemploijeunes.c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42FC8-11B1-4E96-9CFC-23EDA32D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lory lorraine</cp:lastModifiedBy>
  <cp:revision>3</cp:revision>
  <cp:lastPrinted>2021-06-18T16:29:00Z</cp:lastPrinted>
  <dcterms:created xsi:type="dcterms:W3CDTF">2022-12-14T12:23:00Z</dcterms:created>
  <dcterms:modified xsi:type="dcterms:W3CDTF">2022-12-14T12:24:00Z</dcterms:modified>
</cp:coreProperties>
</file>