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33350" distR="12319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34" y="0"/>
                      <wp:lineTo x="-1034" y="20836"/>
                      <wp:lineTo x="21847" y="20836"/>
                      <wp:lineTo x="21847" y="0"/>
                      <wp:lineTo x="-10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b/>
          <w:caps/>
        </w:rPr>
        <w:t>Информатика и системы управления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КАФЕДРА </w:t>
      </w:r>
      <w:r>
        <w:rPr>
          <w:b/>
          <w:caps/>
        </w:rPr>
        <w:t>Компьютерные системы и сети (ИУ6)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НАПРАВЛЕНИЕ ПОДГОТОВКИ  </w:t>
      </w:r>
      <w:r>
        <w:rPr>
          <w:b/>
        </w:rPr>
        <w:t>09.03.01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6EA7F1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4490" cy="3175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2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3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E13FD6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3470" cy="297815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6pt;height:23.35pt" wp14:anchorId="3E13FD6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rPr/>
                      </w:pPr>
                      <w:r>
                        <w:rPr>
                          <w:b/>
                          <w:color w:val="auto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sz w:val="32"/>
          <w:szCs w:val="32"/>
          <w:u w:val="single"/>
          <w:lang w:eastAsia="ru-RU"/>
        </w:rPr>
        <w:t>Javascript. Добавление динамической разметки HTML. Средства отладки.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3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6"/>
        <w:gridCol w:w="1797"/>
        <w:gridCol w:w="1742"/>
        <w:gridCol w:w="2163"/>
        <w:gridCol w:w="2105"/>
      </w:tblGrid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С.А. Шишкин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Москва, 2020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Задание</w:t>
      </w:r>
    </w:p>
    <w:p>
      <w:pPr>
        <w:pStyle w:val="Style16"/>
        <w:shd w:val="clear" w:color="auto" w:fill="FFFFFF"/>
        <w:spacing w:beforeAutospacing="1" w:afterAutospacing="1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bookmarkStart w:id="0" w:name="yui_3_17_2_1_1600721872050_22"/>
      <w:bookmarkEnd w:id="0"/>
      <w:r>
        <w:rPr>
          <w:rFonts w:eastAsia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Написать </w:t>
      </w:r>
      <w:r>
        <w:rPr>
          <w:rFonts w:eastAsia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Javascript</w:t>
      </w:r>
      <w:r>
        <w:rPr>
          <w:rFonts w:eastAsia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-код для вывода дерева элементов страницы, с которой этот код запущен. Отступы для отображения формировать как символ </w:t>
      </w:r>
      <w:r>
        <w:rPr>
          <w:rFonts w:eastAsia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&amp;nbsp;</w:t>
      </w:r>
    </w:p>
    <w:p>
      <w:pPr>
        <w:pStyle w:val="Style16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процессе выполнения работы реализовать следующие пункты: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Сформировать страницу с произвольным кодом разметки, но обеспечить уровень вложенности внутри элемента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&lt;body&gt;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не менее 3.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добавить внутри элемента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&lt;body&gt;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секцию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&lt;div&gt;,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предназначенную для вывода результата обхода дерева элементов страницы.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 проходе по узлам разметки обеспечить отладочный вывод в консоль. Привести в отчете содержимое консоли.</w:t>
      </w:r>
    </w:p>
    <w:p>
      <w:pPr>
        <w:pStyle w:val="Style16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Реализовать вывод на странице.</w:t>
      </w:r>
    </w:p>
    <w:p>
      <w:pPr>
        <w:pStyle w:val="Style16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>
      <w:pPr>
        <w:pStyle w:val="Style16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541655</wp:posOffset>
            </wp:positionV>
            <wp:extent cx="4539615" cy="478853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Html-код страницы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81320" cy="748792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7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center"/>
        <w:rPr>
          <w:rFonts w:ascii="Times New Roman" w:hAnsi="Times New Roman" w:cs="Menlo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Menlo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Web - страница</w:t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4445</wp:posOffset>
            </wp:positionV>
            <wp:extent cx="2480310" cy="540385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-57150</wp:posOffset>
            </wp:positionH>
            <wp:positionV relativeFrom="paragraph">
              <wp:posOffset>5345430</wp:posOffset>
            </wp:positionV>
            <wp:extent cx="1726565" cy="3594100"/>
            <wp:effectExtent l="0" t="0" r="0" b="0"/>
            <wp:wrapTopAndBottom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>
          <w:b w:val="false"/>
          <w:bCs w:val="false"/>
        </w:rPr>
        <w:t>Вывод в консоль</w:t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13910" cy="5738495"/>
            <wp:effectExtent l="0" t="0" r="0" b="0"/>
            <wp:wrapTopAndBottom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Open Sans">
    <w:altName w:val="Helvetica Neue"/>
    <w:charset w:val="01"/>
    <w:family w:val="roman"/>
    <w:pitch w:val="variable"/>
  </w:font>
  <w:font w:name="Menl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b57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0159c3"/>
    <w:rPr/>
  </w:style>
  <w:style w:type="character" w:styleId="CommentSubjectChar" w:customStyle="1">
    <w:name w:val="Comment Subject Char"/>
    <w:basedOn w:val="CommentTextChar"/>
    <w:link w:val="CommentSubject"/>
    <w:qFormat/>
    <w:rsid w:val="000159c3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13688"/>
    <w:rPr>
      <w:rFonts w:ascii="Courier New" w:hAnsi="Courier New" w:cs="Courier New"/>
      <w:lang w:eastAsia="en-US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0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1">
    <w:name w:val="Head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link w:val="CommentSubjectChar"/>
    <w:qFormat/>
    <w:rsid w:val="000159c3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1368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9b57d2"/>
    <w:pPr>
      <w:spacing w:beforeAutospacing="1" w:afterAutospacing="1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5</Pages>
  <Words>199</Words>
  <Characters>1413</Characters>
  <CharactersWithSpaces>1573</CharactersWithSpaces>
  <Paragraphs>38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2020-09-04T21:01:00Z</dcterms:created>
  <dc:creator>ovgot</dc:creator>
  <dc:description/>
  <dc:language>ru-RU</dc:language>
  <cp:lastModifiedBy/>
  <dcterms:modified xsi:type="dcterms:W3CDTF">2020-10-02T23:50:41Z</dcterms:modified>
  <cp:revision>10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