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Frontend SRS: Manage 3-D Secure Email Settings</w:t>
      </w:r>
    </w:p>
    <w:p>
      <w:pPr>
        <w:pStyle w:val="Normal"/>
      </w:pPr>
      <w:r>
        <w:t xml:space="preserve">Based on: STORAGE \FRONTSRSEXAMPLE.docx\ (2025-09-04). This public edition generalizes the bank/card references, API paths and error codes. It documents the application's configuration screen, not the full 3-D Secure protocol or ACS transaction authentication flow.</w:t>
      </w:r>
    </w:p>
    <w:p>
      <w:pPr>
        <w:pStyle w:val="Heading1"/>
      </w:pPr>
      <w:r>
        <w:t xml:space="preserve">1. Original scenario and preconditions</w:t>
      </w:r>
    </w:p>
    <w:p>
      <w:pPr>
        <w:pStyle w:val="Normal"/>
      </w:pPr>
      <w:r>
        <w:t xml:space="preserve">The source describes switching a card-related 3-D Secure email notification/confirmation service on and off, including setting or changing the email address.</w:t>
      </w:r>
    </w:p>
    <w:p>
      <w:pPr>
        <w:pStyle w:val="Normal"/>
      </w:pPr>
      <w:r>
        <w:t xml:space="preserve">Preconditions in the source: user authenticated in a banking mobile app, selected an eligible Visa card and opened Card Settings. Specific issuer functionality and card-scheme eligibility depend on a real issuing-bank contract.</w:t>
      </w:r>
    </w:p>
    <w:p>
      <w:pPr>
        <w:pStyle w:val="Heading1"/>
      </w:pPr>
      <w:r>
        <w:t xml:space="preserve">2. UI state and initialization</w:t>
      </w:r>
    </w:p>
    <w:p>
      <w:pPr>
        <w:pStyle w:val="Normal"/>
      </w:pPr>
      <w:r>
        <w:t xml:space="preserve">The source reads a card-list interface and uses its \emailEnabled\ flag to display toggle status. The original path \GET /card/visa/list\ has been generalized here to a synthetic example.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Input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Initial UI state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Behavior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\emailEnabled = false\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Toggle off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Offer activation flow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\emailEnabled = true\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Toggle 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Offer deactivation / change-email flow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Card data unavailable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Loading or error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Do not guess service state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Missing permissions / wrong card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Unavailable control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Explain why changes are not permitted</w:t>
            </w:r>
          </w:p>
        </w:tc>
      </w:tr>
    </w:tbl>
    <w:p>
      <w:pPr>
        <w:pStyle w:val="Normal"/>
      </w:pPr>
      <w:r>
        <w:t xml:space="preserve">Illustrative public API: \GET /v1/cards/{cardId}/security-settings\.</w:t>
      </w:r>
    </w:p>
    <w:p>
      <w:pPr>
        <w:pStyle w:val="Heading1"/>
      </w:pPr>
      <w:r>
        <w:t xml:space="preserve">3. Activation sequence</w:t>
      </w:r>
    </w:p>
    <w:p>
      <w:pPr>
        <w:pStyle w:val="Normal"/>
      </w:pPr>
      <w:r>
        <w:t xml:space="preserve">• Customer switches the toggle to on.</w:t>
      </w:r>
    </w:p>
    <w:p>
      <w:pPr>
        <w:pStyle w:val="Normal"/>
      </w:pPr>
      <w:r>
        <w:t xml:space="preserve">• UI asks for an email address, validates format, and shows a masked email confirmation.</w:t>
      </w:r>
    </w:p>
    <w:p>
      <w:pPr>
        <w:pStyle w:val="Normal"/>
      </w:pPr>
      <w:r>
        <w:t xml:space="preserve">• The source requires a five-digit code sent by email for the flow.</w:t>
      </w:r>
    </w:p>
    <w:p>
      <w:pPr>
        <w:pStyle w:val="Normal"/>
      </w:pPr>
      <w:r>
        <w:t xml:space="preserve">• The customer enters the code; UI validates required input.</w:t>
      </w:r>
    </w:p>
    <w:p>
      <w:pPr>
        <w:pStyle w:val="Normal"/>
      </w:pPr>
      <w:r>
        <w:t xml:space="preserve">• The backend verifies the code; on confirmed success the screen refreshes the enabled state.</w:t>
      </w:r>
    </w:p>
    <w:p>
      <w:pPr>
        <w:pStyle w:val="Normal"/>
      </w:pPr>
      <w:r>
        <w:t xml:space="preserve">• If verification times out or fails, the UI shows a localised error and retains the previous confirmed state.</w:t>
      </w:r>
    </w:p>
    <w:p>
      <w:pPr>
        <w:pStyle w:val="Normal"/>
      </w:pPr>
      <w:r>
        <w:t xml:space="preserve">A real issuer must determine the allowed authenticator and scheme/regulatory policy. A five-digit email code is part of this source example, not a claim about current certified 3DS/SCA best practice.</w:t>
      </w:r>
    </w:p>
    <w:p>
      <w:pPr>
        <w:pStyle w:val="Heading1"/>
      </w:pPr>
      <w:r>
        <w:t xml:space="preserve">4. Deactivation and change of email</w:t>
      </w:r>
    </w:p>
    <w:p>
      <w:pPr>
        <w:pStyle w:val="Normal"/>
      </w:pPr>
      <w:r>
        <w:t xml:space="preserve">The source includes toggling off and updating the configured email. Separate the actions to prevent incorrect confirmation of a change before the issuer backend accepts it.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DECF3"/>
          </w:tcPr>
          <w:p>
            <w:pPr>
              <w:pStyle w:val="TblHead"/>
            </w:pPr>
            <w:r>
              <w:t xml:space="preserve">Action</w:t>
            </w:r>
          </w:p>
        </w:tc>
        <w:tc>
          <w:tcPr>
            <w:tcW w:w="2250" w:type="dxa"/>
            <w:shd w:fill="DDECF3"/>
          </w:tcPr>
          <w:p>
            <w:pPr>
              <w:pStyle w:val="TblHead"/>
            </w:pPr>
            <w:r>
              <w:t xml:space="preserve">Input</w:t>
            </w:r>
          </w:p>
        </w:tc>
        <w:tc>
          <w:tcPr>
            <w:tcW w:w="2250" w:type="dxa"/>
            <w:shd w:fill="DDECF3"/>
          </w:tcPr>
          <w:p>
            <w:pPr>
              <w:pStyle w:val="TblHead"/>
            </w:pPr>
            <w:r>
              <w:t xml:space="preserve">Authoritative result</w:t>
            </w:r>
          </w:p>
        </w:tc>
        <w:tc>
          <w:tcPr>
            <w:tcW w:w="2250" w:type="dxa"/>
            <w:shd w:fill="DDECF3"/>
          </w:tcPr>
          <w:p>
            <w:pPr>
              <w:pStyle w:val="TblHead"/>
            </w:pPr>
            <w:r>
              <w:t xml:space="preserve">UI outcome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Enable notifications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Address + valid code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Provider confirms enabled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Toggle on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Disable notifications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Authenticated action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Provider confirms disabled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Toggle off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Change email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New address + proof per contract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Provider confirms new address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Show masked new address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Unknown operation outcome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Request correlation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Query status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Preserve prior confirmed UI state</w:t>
            </w:r>
          </w:p>
        </w:tc>
      </w:tr>
    </w:tbl>
    <w:p>
      <w:pPr>
        <w:pStyle w:val="Heading1"/>
      </w:pPr>
      <w:r>
        <w:t xml:space="preserve">5. Errors from the original example (anonymized codes)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Source error meaning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User-facing message proposal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Email code delivery failed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“We could not send your code. Please try again.”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Verification code expired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“The code expired. Request a new one.”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Verification code incorrect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“The code is incorrect.”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Enable/disable failed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“Your settings could not be updated.”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Email change failed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“The email address could not be changed.”</w:t>
            </w:r>
          </w:p>
        </w:tc>
      </w:tr>
    </w:tbl>
    <w:p>
      <w:pPr>
        <w:pStyle w:val="Normal"/>
      </w:pPr>
      <w:r>
        <w:t xml:space="preserve">The source contains issuer-specific integer codes 16009–16013 and sample timestamps; these are deliberately not reproduced as a public bank API contract.</w:t>
      </w:r>
    </w:p>
    <w:p>
      <w:pPr>
        <w:pStyle w:val="Heading1"/>
      </w:pPr>
      <w:r>
        <w:t xml:space="preserve">6. Sequence diagram</w:t>
      </w:r>
    </w:p>
    <w:p>
      <w:pPr>
        <w:pStyle w:val="Normal"/>
      </w:pPr>
      <w:r>
        <w:t xml:space="preserve">\\\mermaid</w:t>
      </w:r>
    </w:p>
    <w:p>
      <w:pPr>
        <w:pStyle w:val="Normal"/>
      </w:pPr>
      <w:r>
        <w:t xml:space="preserve">sequenceDiagram</w:t>
      </w:r>
    </w:p>
    <w:p>
      <w:pPr>
        <w:pStyle w:val="Normal"/>
      </w:pPr>
      <w:r>
        <w:t xml:space="preserve">actor Cardholder</w:t>
      </w:r>
    </w:p>
    <w:p>
      <w:pPr>
        <w:pStyle w:val="Normal"/>
      </w:pPr>
      <w:r>
        <w:t xml:space="preserve">participant UI as Mobile Card Settings</w:t>
      </w:r>
    </w:p>
    <w:p>
      <w:pPr>
        <w:pStyle w:val="Normal"/>
      </w:pPr>
      <w:r>
        <w:t xml:space="preserve">participant Backend as Issuer Backend</w:t>
      </w:r>
    </w:p>
    <w:p>
      <w:pPr>
        <w:pStyle w:val="Normal"/>
      </w:pPr>
      <w:r>
        <w:t xml:space="preserve">participant Mail as Email Service</w:t>
      </w:r>
    </w:p>
    <w:p>
      <w:pPr>
        <w:pStyle w:val="Normal"/>
      </w:pPr>
      <w:r>
        <w:t xml:space="preserve">Cardholder-&gt;&gt;UI: Toggle security email setting</w:t>
      </w:r>
    </w:p>
    <w:p>
      <w:pPr>
        <w:pStyle w:val="Normal"/>
      </w:pPr>
      <w:r>
        <w:t xml:space="preserve">UI-&gt;&gt;Backend: Request verification for new email</w:t>
      </w:r>
    </w:p>
    <w:p>
      <w:pPr>
        <w:pStyle w:val="Normal"/>
      </w:pPr>
      <w:r>
        <w:t xml:space="preserve">Backend-&gt;&gt;Mail: Send code</w:t>
      </w:r>
    </w:p>
    <w:p>
      <w:pPr>
        <w:pStyle w:val="Normal"/>
      </w:pPr>
      <w:r>
        <w:t xml:space="preserve">Mail--&gt;&gt;Cardholder: Verification code</w:t>
      </w:r>
    </w:p>
    <w:p>
      <w:pPr>
        <w:pStyle w:val="Normal"/>
      </w:pPr>
      <w:r>
        <w:t xml:space="preserve">Cardholder-&gt;&gt;UI: Enter code</w:t>
      </w:r>
    </w:p>
    <w:p>
      <w:pPr>
        <w:pStyle w:val="Normal"/>
      </w:pPr>
      <w:r>
        <w:t xml:space="preserve">UI-&gt;&gt;Backend: Confirm code / setting change</w:t>
      </w:r>
    </w:p>
    <w:p>
      <w:pPr>
        <w:pStyle w:val="Normal"/>
      </w:pPr>
      <w:r>
        <w:t xml:space="preserve">alt Valid and accepted</w:t>
      </w:r>
    </w:p>
    <w:p>
      <w:pPr>
        <w:pStyle w:val="Normal"/>
      </w:pPr>
      <w:r>
        <w:t xml:space="preserve">Backend--&gt;&gt;UI: Confirmed settings</w:t>
      </w:r>
    </w:p>
    <w:p>
      <w:pPr>
        <w:pStyle w:val="Normal"/>
      </w:pPr>
      <w:r>
        <w:t xml:space="preserve">UI--&gt;&gt;Cardholder: Show updated toggle</w:t>
      </w:r>
    </w:p>
    <w:p>
      <w:pPr>
        <w:pStyle w:val="Normal"/>
      </w:pPr>
      <w:r>
        <w:t xml:space="preserve">else Expired / invalid / unavailable</w:t>
      </w:r>
    </w:p>
    <w:p>
      <w:pPr>
        <w:pStyle w:val="Normal"/>
      </w:pPr>
      <w:r>
        <w:t xml:space="preserve">Backend--&gt;&gt;UI: Validation or processing error</w:t>
      </w:r>
    </w:p>
    <w:p>
      <w:pPr>
        <w:pStyle w:val="Normal"/>
      </w:pPr>
      <w:r>
        <w:t xml:space="preserve">UI--&gt;&gt;Cardholder: Localized error; prior state retained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Related: Frontend SRS template and Card Acquiring architecture.</w:t>
      </w:r>
    </w:p>
    <w:p>
      <w:pPr>
        <w:pStyle w:val="Normal"/>
      </w:pPr>
      <w:r>
        <w:t xml:space="preserve">License: CC BY 4.0. All identifiers are synthetic; this is not a bank production specification.</w:t>
      </w:r>
    </w:p>
    <w:p>
      <w:pPr>
        <w:pStyle w:val="Subtitle"/>
      </w:pPr>
      <w:r>
        <w:t xml:space="preserve">Source: Architecture &amp; Analysis Hub — Sergei Budnik — CC BY 4.0</w:t>
      </w:r>
    </w:p>
    <w:sectPr>
      <w:pgSz w:w="11906" w:h="16838"/>
      <w:pgMar w:top="950" w:right="1020" w:bottom="9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10"/>
    </w:pPr>
    <w:rPr>
      <w:b/>
      <w:color w:val="17465A"/>
      <w:sz w:val="34"/>
    </w:rPr>
  </w:style>
  <w:style w:type="paragraph" w:styleId="Heading1">
    <w:name w:val="heading 1"/>
    <w:pPr>
      <w:keepNext/>
      <w:spacing w:before="230" w:after="95"/>
    </w:pPr>
    <w:rPr>
      <w:b/>
      <w:color w:val="17465A"/>
      <w:sz w:val="27"/>
    </w:rPr>
  </w:style>
  <w:style w:type="paragraph" w:styleId="Heading2">
    <w:name w:val="heading 2"/>
    <w:pPr>
      <w:keepNext/>
      <w:spacing w:before="160" w:after="70"/>
    </w:pPr>
    <w:rPr>
      <w:b/>
      <w:color w:val="2F657C"/>
      <w:sz w:val="22"/>
    </w:rPr>
  </w:style>
  <w:style w:type="paragraph" w:styleId="Code">
    <w:name w:val="Code"/>
    <w:rPr>
      <w:rFonts w:ascii="Consolas" w:hAnsi="Consolas"/>
      <w:sz w:val="17"/>
    </w:rPr>
  </w:style>
  <w:style w:type="paragraph" w:styleId="TblHead">
    <w:name w:val="TblHead"/>
    <w:rPr>
      <w:b/>
      <w:sz w:val="18"/>
    </w:rPr>
  </w:style>
  <w:style w:type="paragraph" w:styleId="Quote">
    <w:name w:val="Quote"/>
    <w:rPr>
      <w:i/>
    </w:rPr>
  </w:style>
  <w:style w:type="paragraph" w:styleId="Subtitle">
    <w:name w:val="Subtitle"/>
    <w:rPr>
      <w:i/>
      <w:color w:val="556B77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