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Sequence Diagram: Long-Running Accounting Report</w:t>
      </w:r>
    </w:p>
    <w:p>
      <w:pPr>
        <w:pStyle w:val="Normal"/>
      </w:pPr>
      <w:r>
        <w:t xml:space="preserve">Source: \SEQUENCEEXAMPLES.docx\, Example №1, from Sergei Budnik's STORAGE library. This adaptation keeps the source's report queue ID, 30-second polling and 10-minute limit.</w:t>
      </w:r>
    </w:p>
    <w:p>
      <w:pPr>
        <w:pStyle w:val="Heading1"/>
      </w:pPr>
      <w:r>
        <w:t xml:space="preserve">1. Scenario</w:t>
      </w:r>
    </w:p>
    <w:p>
      <w:pPr>
        <w:pStyle w:val="Normal"/>
      </w:pPr>
      <w:r>
        <w:t xml:space="preserve">An accountant initiates generation of a large report from a UI. The backend may need up to 10 minutes to generate it. The UI begins generation using an endpoint equivalent to \/getReport\; it then sends \/checkReport\ every 30 seconds, correlated by \queueId\. If the report is not ready after ten minutes, the user sees an error.</w:t>
      </w:r>
    </w:p>
    <w:p>
      <w:pPr>
        <w:pStyle w:val="Normal"/>
      </w:pPr>
      <w:r>
        <w:t xml:space="preserve">The original exercise explicitly omits employee authorization and most exceptional conditions. The public edition follows that scope instead of pretending they were modeled in the source.</w:t>
      </w:r>
    </w:p>
    <w:p>
      <w:pPr>
        <w:pStyle w:val="Heading1"/>
      </w:pPr>
      <w:r>
        <w:t xml:space="preserve">2. Participants</w:t>
      </w:r>
    </w:p>
    <w:tbl>
      <w:tblPr>
        <w:tblW w:w="9000" w:type="dxa"/>
        <w:tblBorders>
          <w:top w:val="single" w:color="D0DDE4" w:sz="3"/>
          <w:left w:val="single" w:color="D0DDE4" w:sz="3"/>
          <w:bottom w:val="single" w:color="D0DDE4" w:sz="3"/>
          <w:right w:val="single" w:color="D0DDE4" w:sz="3"/>
          <w:insideH w:val="single" w:color="D0DDE4" w:sz="3"/>
          <w:insideV w:val="single" w:color="D0DDE4" w:sz="3"/>
        </w:tblBorders>
      </w:tblPr>
      <w:tblGrid>
        <w:gridCol w:w="4500"/>
        <w:gridCol w:w="4500"/>
      </w:tblGrid>
      <w:tr>
        <w:tc>
          <w:tcPr>
            <w:tcW w:w="4500" w:type="dxa"/>
            <w:shd w:fill="DDECF3"/>
          </w:tcPr>
          <w:p>
            <w:pPr>
              <w:pStyle w:val="TblHead"/>
            </w:pPr>
            <w:r>
              <w:t xml:space="preserve">Participant</w:t>
            </w:r>
          </w:p>
        </w:tc>
        <w:tc>
          <w:tcPr>
            <w:tcW w:w="4500" w:type="dxa"/>
            <w:shd w:fill="DDECF3"/>
          </w:tcPr>
          <w:p>
            <w:pPr>
              <w:pStyle w:val="TblHead"/>
            </w:pPr>
            <w:r>
              <w:t xml:space="preserve">Responsibility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Accountant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Requests report and receives output or timeout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\accounting-ui\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Starts asynchronous job and checks readiness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\accounting-report-service\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Queues/generates report, returns queueId and status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Report store (added in public illustration)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Holds generated artifact for retrieval</w:t>
            </w:r>
          </w:p>
        </w:tc>
      </w:tr>
    </w:tbl>
    <w:p>
      <w:pPr>
        <w:pStyle w:val="Heading1"/>
      </w:pPr>
      <w:r>
        <w:t xml:space="preserve">3. Main sequence</w:t>
      </w:r>
    </w:p>
    <w:p>
      <w:pPr>
        <w:pStyle w:val="Normal"/>
      </w:pPr>
      <w:r>
        <w:t xml:space="preserve">• Accountant clicks Generate Report.</w:t>
      </w:r>
    </w:p>
    <w:p>
      <w:pPr>
        <w:pStyle w:val="Normal"/>
      </w:pPr>
      <w:r>
        <w:t xml:space="preserve">• \accounting-ui\ → \accounting-report-service\: \/getReport\.</w:t>
      </w:r>
    </w:p>
    <w:p>
      <w:pPr>
        <w:pStyle w:val="Normal"/>
      </w:pPr>
      <w:r>
        <w:t xml:space="preserve">• Report service returns a unique \queueId\.</w:t>
      </w:r>
    </w:p>
    <w:p>
      <w:pPr>
        <w:pStyle w:val="Normal"/>
      </w:pPr>
      <w:r>
        <w:t xml:space="preserve">• UI requests \/checkReport?queueId=...\ every 30 seconds.</w:t>
      </w:r>
    </w:p>
    <w:p>
      <w:pPr>
        <w:pStyle w:val="Normal"/>
      </w:pPr>
      <w:r>
        <w:t xml:space="preserve">• If ready within ten minutes, UI retrieves and opens/downloads the generated report.</w:t>
      </w:r>
    </w:p>
    <w:p>
      <w:pPr>
        <w:pStyle w:val="Normal"/>
      </w:pPr>
      <w:r>
        <w:t xml:space="preserve">• If not ready within ten minutes, UI displays an error.</w:t>
      </w:r>
    </w:p>
    <w:p>
      <w:pPr>
        <w:pStyle w:val="Heading1"/>
      </w:pPr>
      <w:r>
        <w:t xml:space="preserve">4. Editable source and diagram</w:t>
      </w:r>
    </w:p>
    <w:p>
      <w:pPr>
        <w:pStyle w:val="Normal"/>
      </w:pPr>
      <w:r>
        <w:t xml:space="preserve">Download asynchronous report generation sequence (PlantUML).</w:t>
      </w:r>
    </w:p>
    <w:p>
      <w:pPr>
        <w:pStyle w:val="Normal"/>
      </w:pPr>
      <w:r>
        <w:t xml:space="preserve">\\\mermaid</w:t>
      </w:r>
    </w:p>
    <w:p>
      <w:pPr>
        <w:pStyle w:val="Normal"/>
      </w:pPr>
      <w:r>
        <w:t xml:space="preserve">sequenceDiagram</w:t>
      </w:r>
    </w:p>
    <w:p>
      <w:pPr>
        <w:pStyle w:val="Normal"/>
      </w:pPr>
      <w:r>
        <w:t xml:space="preserve">actor Accountant</w:t>
      </w:r>
    </w:p>
    <w:p>
      <w:pPr>
        <w:pStyle w:val="Normal"/>
      </w:pPr>
      <w:r>
        <w:t xml:space="preserve">participant UI as accounting-ui</w:t>
      </w:r>
    </w:p>
    <w:p>
      <w:pPr>
        <w:pStyle w:val="Normal"/>
      </w:pPr>
      <w:r>
        <w:t xml:space="preserve">participant Report as accounting-report-service</w:t>
      </w:r>
    </w:p>
    <w:p>
      <w:pPr>
        <w:pStyle w:val="Normal"/>
      </w:pPr>
      <w:r>
        <w:t xml:space="preserve">Accountant-&gt;&gt;UI: Generate report</w:t>
      </w:r>
    </w:p>
    <w:p>
      <w:pPr>
        <w:pStyle w:val="Normal"/>
      </w:pPr>
      <w:r>
        <w:t xml:space="preserve">UI-&gt;&gt;Report: /getReport</w:t>
      </w:r>
    </w:p>
    <w:p>
      <w:pPr>
        <w:pStyle w:val="Normal"/>
      </w:pPr>
      <w:r>
        <w:t xml:space="preserve">Report--&gt;&gt;UI: queueId</w:t>
      </w:r>
    </w:p>
    <w:p>
      <w:pPr>
        <w:pStyle w:val="Normal"/>
      </w:pPr>
      <w:r>
        <w:t xml:space="preserve">loop Every 30 sec; maximum 10 min</w:t>
      </w:r>
    </w:p>
    <w:p>
      <w:pPr>
        <w:pStyle w:val="Normal"/>
      </w:pPr>
      <w:r>
        <w:t xml:space="preserve">UI-&gt;&gt;Report: /checkReport(queueId)</w:t>
      </w:r>
    </w:p>
    <w:p>
      <w:pPr>
        <w:pStyle w:val="Normal"/>
      </w:pPr>
      <w:r>
        <w:t xml:space="preserve">alt Ready</w:t>
      </w:r>
    </w:p>
    <w:p>
      <w:pPr>
        <w:pStyle w:val="Normal"/>
      </w:pPr>
      <w:r>
        <w:t xml:space="preserve">Report--&gt;&gt;UI: READY + report reference</w:t>
      </w:r>
    </w:p>
    <w:p>
      <w:pPr>
        <w:pStyle w:val="Normal"/>
      </w:pPr>
      <w:r>
        <w:t xml:space="preserve">UI--&gt;&gt;Accountant: Download report</w:t>
      </w:r>
    </w:p>
    <w:p>
      <w:pPr>
        <w:pStyle w:val="Normal"/>
      </w:pPr>
      <w:r>
        <w:t xml:space="preserve">else Still processing</w:t>
      </w:r>
    </w:p>
    <w:p>
      <w:pPr>
        <w:pStyle w:val="Normal"/>
      </w:pPr>
      <w:r>
        <w:t xml:space="preserve">Report--&gt;&gt;UI: PENDING</w:t>
      </w:r>
    </w:p>
    <w:p>
      <w:pPr>
        <w:pStyle w:val="Normal"/>
      </w:pPr>
      <w:r>
        <w:t xml:space="preserve">end</w:t>
      </w:r>
    </w:p>
    <w:p>
      <w:pPr>
        <w:pStyle w:val="Normal"/>
      </w:pPr>
      <w:r>
        <w:t xml:space="preserve">end</w:t>
      </w:r>
    </w:p>
    <w:p>
      <w:pPr>
        <w:pStyle w:val="Normal"/>
      </w:pPr>
      <w:r>
        <w:t xml:space="preserve">opt Not ready by 10-minute deadline</w:t>
      </w:r>
    </w:p>
    <w:p>
      <w:pPr>
        <w:pStyle w:val="Normal"/>
      </w:pPr>
      <w:r>
        <w:t xml:space="preserve">UI--&gt;&gt;Accountant: Report generation timed out</w:t>
      </w:r>
    </w:p>
    <w:p>
      <w:pPr>
        <w:pStyle w:val="Normal"/>
      </w:pPr>
      <w:r>
        <w:t xml:space="preserve">end</w:t>
      </w:r>
    </w:p>
    <w:p>
      <w:pPr>
        <w:pStyle w:val="Normal"/>
      </w:pPr>
      <w:r>
        <w:t xml:space="preserve">\\\</w:t>
      </w:r>
    </w:p>
    <w:p>
      <w:pPr>
        <w:pStyle w:val="Normal"/>
      </w:pPr>
      <w:r>
        <w:t xml:space="preserve">Architecture note (new): This is a useful teaching example of asynchronous work and polling, not a benchmark. Real systems additionally require job retention, authorization, cancellation, retry, secure artifact access and timeouts for partial report generation.</w:t>
      </w:r>
    </w:p>
    <w:p>
      <w:pPr>
        <w:pStyle w:val="Normal"/>
      </w:pPr>
      <w:r>
        <w:t xml:space="preserve">Licence: CC BY 4.0.</w:t>
      </w:r>
    </w:p>
    <w:p>
      <w:pPr>
        <w:pStyle w:val="Subtitle"/>
      </w:pPr>
      <w:r>
        <w:t xml:space="preserve">Source: Architecture &amp; Analysis Hub — Sergei Budnik — CC BY 4.0</w:t>
      </w:r>
    </w:p>
    <w:sectPr>
      <w:pgSz w:w="11906" w:h="16838"/>
      <w:pgMar w:top="950" w:right="1020" w:bottom="950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19"/>
      </w:rPr>
    </w:rPrDefault>
  </w:docDefaults>
  <w:style w:type="paragraph" w:default="1" w:styleId="Normal">
    <w:name w:val="Normal"/>
  </w:style>
  <w:style w:type="paragraph" w:styleId="Title">
    <w:name w:val="Title"/>
    <w:pPr>
      <w:spacing w:after="210"/>
    </w:pPr>
    <w:rPr>
      <w:b/>
      <w:color w:val="17465A"/>
      <w:sz w:val="34"/>
    </w:rPr>
  </w:style>
  <w:style w:type="paragraph" w:styleId="Heading1">
    <w:name w:val="heading 1"/>
    <w:pPr>
      <w:keepNext/>
      <w:spacing w:before="230" w:after="95"/>
    </w:pPr>
    <w:rPr>
      <w:b/>
      <w:color w:val="17465A"/>
      <w:sz w:val="27"/>
    </w:rPr>
  </w:style>
  <w:style w:type="paragraph" w:styleId="Heading2">
    <w:name w:val="heading 2"/>
    <w:pPr>
      <w:keepNext/>
      <w:spacing w:before="160" w:after="70"/>
    </w:pPr>
    <w:rPr>
      <w:b/>
      <w:color w:val="2F657C"/>
      <w:sz w:val="22"/>
    </w:rPr>
  </w:style>
  <w:style w:type="paragraph" w:styleId="Code">
    <w:name w:val="Code"/>
    <w:rPr>
      <w:rFonts w:ascii="Consolas" w:hAnsi="Consolas"/>
      <w:sz w:val="17"/>
    </w:rPr>
  </w:style>
  <w:style w:type="paragraph" w:styleId="TblHead">
    <w:name w:val="TblHead"/>
    <w:rPr>
      <w:b/>
      <w:sz w:val="18"/>
    </w:rPr>
  </w:style>
  <w:style w:type="paragraph" w:styleId="Quote">
    <w:name w:val="Quote"/>
    <w:rPr>
      <w:i/>
    </w:rPr>
  </w:style>
  <w:style w:type="paragraph" w:styleId="Subtitle">
    <w:name w:val="Subtitle"/>
    <w:rPr>
      <w:i/>
      <w:color w:val="556B77"/>
      <w:sz w:val="17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