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API Contract Example: Partial Bulk Update of Employees</w:t>
      </w:r>
    </w:p>
    <w:p>
      <w:pPr>
        <w:pStyle w:val="Normal"/>
      </w:pPr>
      <w:r>
        <w:t xml:space="preserve">Source: \APIEXAMPLE.docx\ from STORAGE, second operation \PATCH /api/employees/bulk-update\. The existing Employee Export API covers the first operation from the same source. The original sample contains example employee names, document details, contacts, salary information and token-shaped strings; this public edition uses synthetic records only.</w:t>
      </w:r>
    </w:p>
    <w:p>
      <w:pPr>
        <w:pStyle w:val="Heading1"/>
      </w:pPr>
      <w:r>
        <w:t xml:space="preserve">1. Business behavior from the source</w:t>
      </w:r>
    </w:p>
    <w:p>
      <w:pPr>
        <w:pStyle w:val="Normal"/>
      </w:pPr>
      <w:r>
        <w:t xml:space="preserve">Users edit employee fields in a table, then select Actions → Save All. The GUI collects changed employee rows and sends a single request containing only fields that have changed. The operation accepts one or many employees and returns a required \updated\ field even if no rows succeed. The \errors\ field is present in partial-failure scenarios.</w:t>
      </w:r>
    </w:p>
    <w:p>
      <w:pPr>
        <w:pStyle w:val="Normal"/>
      </w:pPr>
      <w:r>
        <w:t xml:space="preserve">The source specifies client-side validation for completeness, type and format before submission. Public design correction: the server must also validate permissions and data; client-only validation is insufficient.</w:t>
      </w:r>
    </w:p>
    <w:p>
      <w:pPr>
        <w:pStyle w:val="Heading1"/>
      </w:pPr>
      <w:r>
        <w:t xml:space="preserve">2. HTTP contract</w:t>
      </w:r>
    </w:p>
    <w:p>
      <w:pPr>
        <w:pStyle w:val="Normal"/>
      </w:pPr>
      <w:r>
        <w:t xml:space="preserve">\\\http</w:t>
      </w:r>
    </w:p>
    <w:p>
      <w:pPr>
        <w:pStyle w:val="Normal"/>
      </w:pPr>
      <w:r>
        <w:t xml:space="preserve">PATCH /api/employees/bulk-update</w:t>
      </w:r>
    </w:p>
    <w:p>
      <w:pPr>
        <w:pStyle w:val="Normal"/>
      </w:pPr>
      <w:r>
        <w:t xml:space="preserve">Authorization: Bearer &lt;accesstoken&gt;</w:t>
      </w:r>
    </w:p>
    <w:p>
      <w:pPr>
        <w:pStyle w:val="Normal"/>
      </w:pPr>
      <w:r>
        <w:t xml:space="preserve">Content-Type: application/json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Synthetic request:</w:t>
      </w:r>
    </w:p>
    <w:p>
      <w:pPr>
        <w:pStyle w:val="Normal"/>
      </w:pPr>
      <w:r>
        <w:t xml:space="preserve">\\\json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"employees": [</w:t>
      </w:r>
    </w:p>
    <w:p>
      <w:pPr>
        <w:pStyle w:val="Normal"/>
      </w:pPr>
      <w:r>
        <w:t xml:space="preserve">{"id": "EMP-101", "department": "Operations"},</w:t>
      </w:r>
    </w:p>
    <w:p>
      <w:pPr>
        <w:pStyle w:val="Normal"/>
      </w:pPr>
      <w:r>
        <w:t xml:space="preserve">{"id": "EMP-102", "workPhone": "+0000000000"}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The \employees\ collection field is a public illustrative schema. It is not claimed to match the original's field naming exactly.</w:t>
      </w:r>
    </w:p>
    <w:p>
      <w:pPr>
        <w:pStyle w:val="Heading1"/>
      </w:pPr>
      <w:r>
        <w:t xml:space="preserve">3. Response contract</w:t>
      </w:r>
    </w:p>
    <w:p>
      <w:pPr>
        <w:pStyle w:val="Normal"/>
      </w:pPr>
      <w:r>
        <w:t xml:space="preserve">Illustrative success:</w:t>
      </w:r>
    </w:p>
    <w:p>
      <w:pPr>
        <w:pStyle w:val="Normal"/>
      </w:pPr>
      <w:r>
        <w:t xml:space="preserve">\\\json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"updated": ["EMP-101", "EMP-102"]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Illustrative partial error:</w:t>
      </w:r>
    </w:p>
    <w:p>
      <w:pPr>
        <w:pStyle w:val="Normal"/>
      </w:pPr>
      <w:r>
        <w:t xml:space="preserve">\\\json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"updated": ["EMP-101"],</w:t>
      </w:r>
    </w:p>
    <w:p>
      <w:pPr>
        <w:pStyle w:val="Normal"/>
      </w:pPr>
      <w:r>
        <w:t xml:space="preserve">"errors": [</w:t>
      </w:r>
    </w:p>
    <w:p>
      <w:pPr>
        <w:pStyle w:val="Normal"/>
      </w:pPr>
      <w:r>
        <w:t xml:space="preserve">{"employeeId": "EMP-102", "code": "VALIDATIONERROR", "field": "workPhone"}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The source describes mandatory \updated\ and conditional \errors\; the precise error JSON shown here is newly designed to illustrate the semantics.</w:t>
      </w:r>
    </w:p>
    <w:p>
      <w:pPr>
        <w:pStyle w:val="Heading1"/>
      </w:pPr>
      <w:r>
        <w:t xml:space="preserve">4. Processing and failure rules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Condition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Expected contract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One or more valid changes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Update identified rows and return \updated\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Field omitted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Do not overwrite unchanged field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Invalid type/format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Reject affected row with correlated error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No modified rows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\updated\ must still appear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Unauthorized employee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Do not disclose or update record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Concurrent edits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Define version or optimistic-lock conflict response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Retry after unknown response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Define idempotency/concurrency to prevent repeated non-idempotent effects</w:t>
            </w:r>
          </w:p>
        </w:tc>
      </w:tr>
    </w:tbl>
    <w:p>
      <w:pPr>
        <w:pStyle w:val="Normal"/>
      </w:pPr>
      <w:r>
        <w:t xml:space="preserve">Source vs recommendations: Partial updates, multi-row processing, front-side validation and response fields are from the original. Concurrency policy, server-side validation, idempotency and audit requirements are explicit additional recommendations for reuse.</w:t>
      </w:r>
    </w:p>
    <w:p>
      <w:pPr>
        <w:pStyle w:val="Heading1"/>
      </w:pPr>
      <w:r>
        <w:t xml:space="preserve">5. Editability and attribution</w:t>
      </w:r>
    </w:p>
    <w:p>
      <w:pPr>
        <w:pStyle w:val="Normal"/>
      </w:pPr>
      <w:r>
        <w:t xml:space="preserve">Editable DOCX versions are collected on the Source-Based Examples Downloads page. Related reference: Backend SRS template.</w:t>
      </w:r>
    </w:p>
    <w:p>
      <w:pPr>
        <w:pStyle w:val="Normal"/>
      </w:pPr>
      <w:r>
        <w:t xml:space="preserve">Licence: CC BY 4.0.</w:t>
      </w:r>
    </w:p>
    <w:p>
      <w:pPr>
        <w:pStyle w:val="Subtitle"/>
      </w:pPr>
      <w:r>
        <w:t xml:space="preserve">Source: Architecture &amp; Analysis Hub — Sergei Budnik — CC BY 4.0</w:t>
      </w:r>
    </w:p>
    <w:sectPr>
      <w:pgSz w:w="11906" w:h="16838"/>
      <w:pgMar w:top="950" w:right="1020" w:bottom="9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10"/>
    </w:pPr>
    <w:rPr>
      <w:b/>
      <w:color w:val="17465A"/>
      <w:sz w:val="34"/>
    </w:rPr>
  </w:style>
  <w:style w:type="paragraph" w:styleId="Heading1">
    <w:name w:val="heading 1"/>
    <w:pPr>
      <w:keepNext/>
      <w:spacing w:before="230" w:after="95"/>
    </w:pPr>
    <w:rPr>
      <w:b/>
      <w:color w:val="17465A"/>
      <w:sz w:val="27"/>
    </w:rPr>
  </w:style>
  <w:style w:type="paragraph" w:styleId="Heading2">
    <w:name w:val="heading 2"/>
    <w:pPr>
      <w:keepNext/>
      <w:spacing w:before="160" w:after="70"/>
    </w:pPr>
    <w:rPr>
      <w:b/>
      <w:color w:val="2F657C"/>
      <w:sz w:val="22"/>
    </w:rPr>
  </w:style>
  <w:style w:type="paragraph" w:styleId="Code">
    <w:name w:val="Code"/>
    <w:rPr>
      <w:rFonts w:ascii="Consolas" w:hAnsi="Consolas"/>
      <w:sz w:val="17"/>
    </w:rPr>
  </w:style>
  <w:style w:type="paragraph" w:styleId="TblHead">
    <w:name w:val="TblHead"/>
    <w:rPr>
      <w:b/>
      <w:sz w:val="18"/>
    </w:rPr>
  </w:style>
  <w:style w:type="paragraph" w:styleId="Quote">
    <w:name w:val="Quote"/>
    <w:rPr>
      <w:i/>
    </w:rPr>
  </w:style>
  <w:style w:type="paragraph" w:styleId="Subtitle">
    <w:name w:val="Subtitle"/>
    <w:rPr>
      <w:i/>
      <w:color w:val="556B77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