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Software Requirements Specification: Food Delivery App</w:t>
      </w:r>
    </w:p>
    <w:p>
      <w:pPr>
        <w:pStyle w:val="Normal"/>
      </w:pPr>
      <w:r>
        <w:t xml:space="preserve">Source: \SRSEXAMPLE1.docx\ from the author's STORAGE collection (v1.0.0, 2025-09-04). Public edition: a sanitized educational adaptation; it is not evidence of a live food-delivery business.</w:t>
      </w:r>
    </w:p>
    <w:p>
      <w:pPr>
        <w:pStyle w:val="Heading1"/>
      </w:pPr>
      <w:r>
        <w:t xml:space="preserve">1. Context and business objectives</w:t>
      </w:r>
    </w:p>
    <w:p>
      <w:pPr>
        <w:pStyle w:val="Normal"/>
      </w:pPr>
      <w:r>
        <w:t xml:space="preserve">The original SRS identifies four problems: customer convenience, restaurant reach/revenue, coordination of orders, and visibility of delivery/service quality.</w:t>
      </w:r>
    </w:p>
    <w:p>
      <w:pPr>
        <w:pStyle w:val="Normal"/>
      </w:pPr>
      <w:r>
        <w:t xml:space="preserve">The source's goals are revenue growth, a stronger consumer-facing brand, diversification, analytics to improve marketing/operations, and better customer retention.</w:t>
      </w:r>
    </w:p>
    <w:p>
      <w:pPr>
        <w:pStyle w:val="Heading1"/>
      </w:pPr>
      <w:r>
        <w:t xml:space="preserve">2. Product and users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Actor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Goals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Customer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Find restaurants, inspect dishes, manage basket, pay, track courier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Courier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Accept delivery assignment and update progress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Restaurant/operator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Maintain availability and respond to fulfilment tasks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Support specialist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Resolve questions via built-in chat</w:t>
            </w:r>
          </w:p>
        </w:tc>
      </w:tr>
    </w:tbl>
    <w:p>
      <w:pPr>
        <w:pStyle w:val="Normal"/>
      </w:pPr>
      <w:r>
        <w:t xml:space="preserve">The first two roles and the customer-facing requirements are source-grounded; the restaurant/operator and specialist responsibility descriptions are added as architecture-review interpretations.</w:t>
      </w:r>
    </w:p>
    <w:p>
      <w:pPr>
        <w:pStyle w:val="Heading1"/>
      </w:pPr>
      <w:r>
        <w:t xml:space="preserve">3. Thirteen functional requirements from the example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ID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Functional requirement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FR-01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List restaurants with name, delivery time, highlighted dishes, rating and promotion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FR-02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Search restaurants by name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FR-03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Show the selected restaurant's menu with prices, dish weight and calories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FR-04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Add a dish to basket from restaurant menu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FR-05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Open a dish detail with name, description, nutritional value and price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FR-06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Choose quantity and add dish to basket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FR-07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Show basket contents, unit prices, weight, quantities, delivery cost/time and order total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FR-08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Change quantity for each basket item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FR-09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Remove dish from basket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FR-10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Pay for an order from basket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FR-11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Contact support by embedded chat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FR-12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Track courier position on a map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FR-13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Receive order-status notifications</w:t>
            </w:r>
          </w:p>
        </w:tc>
      </w:tr>
    </w:tbl>
    <w:p>
      <w:pPr>
        <w:pStyle w:val="Normal"/>
      </w:pPr>
      <w:r>
        <w:t xml:space="preserve">Requirements are numbered for public traceability; the original lists them sequentially as “Requirement 1–13”.</w:t>
      </w:r>
    </w:p>
    <w:p>
      <w:pPr>
        <w:pStyle w:val="Heading1"/>
      </w:pPr>
      <w:r>
        <w:t xml:space="preserve">4. Five non-functional statements in the source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ID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Source meaning</w:t>
            </w:r>
          </w:p>
        </w:tc>
        <w:tc>
          <w:tcPr>
            <w:tcW w:w="3000" w:type="dxa"/>
            <w:shd w:fill="DDECF3"/>
          </w:tcPr>
          <w:p>
            <w:pPr>
              <w:pStyle w:val="TblHead"/>
            </w:pPr>
            <w:r>
              <w:t xml:space="preserve">Review needed before delivery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NFR-01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Work on iOS, Android and desktop/mobile web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Supported OS/browser versions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NFR-02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Russian and English localisation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Locale coverage and translation QA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NFR-03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Protect payment data in transit with HTTPS/TLS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PCI scope, tokenization and end-to-end data protection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NFR-04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Support “1 million concurrent users per day” without performance loss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Ambiguous unit: concurrent users vs daily active users; define TPS and load model</w:t>
            </w:r>
          </w:p>
        </w:tc>
      </w:tr>
      <w:tr>
        <w:tc>
          <w:tcPr>
            <w:tcW w:w="3000" w:type="dxa"/>
          </w:tcPr>
          <w:p>
            <w:pPr>
              <w:pStyle w:val="Normal"/>
            </w:pPr>
            <w:r>
              <w:t xml:space="preserve">NFR-05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Separate User and Courier roles and interfaces</w:t>
            </w:r>
          </w:p>
        </w:tc>
        <w:tc>
          <w:tcPr>
            <w:tcW w:w="3000" w:type="dxa"/>
          </w:tcPr>
          <w:p>
            <w:pPr>
              <w:pStyle w:val="Normal"/>
            </w:pPr>
            <w:r>
              <w:t xml:space="preserve">Back-end access-control tests</w:t>
            </w:r>
          </w:p>
        </w:tc>
      </w:tr>
    </w:tbl>
    <w:p>
      <w:pPr>
        <w:pStyle w:val="Normal"/>
      </w:pPr>
      <w:r>
        <w:t xml:space="preserve">Important: The phrase “one million concurrent users per day” is reproduced as an example's wording; it is not a coherent measurable capacity specification until clarified.</w:t>
      </w:r>
    </w:p>
    <w:p>
      <w:pPr>
        <w:pStyle w:val="Heading1"/>
      </w:pPr>
      <w:r>
        <w:t xml:space="preserve">5. User stories in the source</w:t>
      </w:r>
    </w:p>
    <w:p>
      <w:pPr>
        <w:pStyle w:val="Normal"/>
      </w:pPr>
      <w:r>
        <w:t xml:space="preserve">The original includes examples for menu browsing, adding/removing dishes, card payment, courier order acceptance, and delivery tracking. See User Story Examples for a separate adapted document.</w:t>
      </w:r>
    </w:p>
    <w:p>
      <w:pPr>
        <w:pStyle w:val="Heading1"/>
      </w:pPr>
      <w:r>
        <w:t xml:space="preserve">6. User registration use case</w:t>
      </w:r>
    </w:p>
    <w:p>
      <w:pPr>
        <w:pStyle w:val="Normal"/>
      </w:pPr>
      <w:r>
        <w:t xml:space="preserve">The source gives an SMS-code registration scenario with input validation, resend, expiration and unsuccessful attempts. A full separate adaptation is available at User Registration Use Case.</w:t>
      </w:r>
    </w:p>
    <w:p>
      <w:pPr>
        <w:pStyle w:val="Heading1"/>
      </w:pPr>
      <w:r>
        <w:t xml:space="preserve">7. Frontend requirements</w:t>
      </w:r>
    </w:p>
    <w:p>
      <w:pPr>
        <w:pStyle w:val="Normal"/>
      </w:pPr>
      <w:r>
        <w:t xml:space="preserve">Entry points: launched app, push notification or SMS link.</w:t>
      </w:r>
    </w:p>
    <w:p>
      <w:pPr>
        <w:pStyle w:val="Normal"/>
      </w:pPr>
      <w:r>
        <w:t xml:space="preserve">Home: search input triggers keyboard; submit searches restaurants; restaurant card opens the restaurant page.</w:t>
      </w:r>
    </w:p>
    <w:p>
      <w:pPr>
        <w:pStyle w:val="Normal"/>
      </w:pPr>
      <w:r>
        <w:t xml:space="preserve">Restaurant: selecting a dish opens detail; the add button puts a dish in the basket; pull-to-refresh updates the menu list.</w:t>
      </w:r>
    </w:p>
    <w:p>
      <w:pPr>
        <w:pStyle w:val="Normal"/>
      </w:pPr>
      <w:r>
        <w:t xml:space="preserve">Design review additions: Show loading/empty/error states, duplicate-submit protection, pricing currency and source of truth, and permission controls for support chat. These additions are not asserted as literal source requirements.</w:t>
      </w:r>
    </w:p>
    <w:p>
      <w:pPr>
        <w:pStyle w:val="Heading1"/>
      </w:pPr>
      <w:r>
        <w:t xml:space="preserve">8. Data model from the source</w:t>
      </w:r>
    </w:p>
    <w:p>
      <w:pPr>
        <w:pStyle w:val="Normal"/>
      </w:pPr>
      <w:r>
        <w:t xml:space="preserve">The SRS contains tabular entities for Delivery, User, Order, Ordered Dishes, Restaurant, Payment and Dishes. A separate source-based database design example expands the relationships and corrects unsafe storage patterns.</w:t>
      </w:r>
    </w:p>
    <w:p>
      <w:pPr>
        <w:pStyle w:val="Normal"/>
      </w:pPr>
      <w:r>
        <w:t xml:space="preserve">Safety correction: Do not publish payment-card number, expiration date or CVV as recommended storage fields. Use appropriate PCI-compliant tokenization and avoid storing sensitive authentication data such as CVV.</w:t>
      </w:r>
    </w:p>
    <w:p>
      <w:pPr>
        <w:pStyle w:val="Heading1"/>
      </w:pPr>
      <w:r>
        <w:t xml:space="preserve">9. Acceptance scenarios</w:t>
      </w:r>
    </w:p>
    <w:tbl>
      <w:tblPr>
        <w:tblW w:w="9000" w:type="dxa"/>
        <w:tblBorders>
          <w:top w:val="single" w:color="D0DDE4" w:sz="3"/>
          <w:left w:val="single" w:color="D0DDE4" w:sz="3"/>
          <w:bottom w:val="single" w:color="D0DDE4" w:sz="3"/>
          <w:right w:val="single" w:color="D0DDE4" w:sz="3"/>
          <w:insideH w:val="single" w:color="D0DDE4" w:sz="3"/>
          <w:insideV w:val="single" w:color="D0DDE4" w:sz="3"/>
        </w:tblBorders>
      </w:tblPr>
      <w:tblGrid>
        <w:gridCol w:w="4500"/>
        <w:gridCol w:w="4500"/>
      </w:tblGrid>
      <w:tr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Test</w:t>
            </w:r>
          </w:p>
        </w:tc>
        <w:tc>
          <w:tcPr>
            <w:tcW w:w="4500" w:type="dxa"/>
            <w:shd w:fill="DDECF3"/>
          </w:tcPr>
          <w:p>
            <w:pPr>
              <w:pStyle w:val="TblHead"/>
            </w:pPr>
            <w:r>
              <w:t xml:space="preserve">Example expected behavior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Restaurant search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Customer searches and receives matching restaurants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Basket quantity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Totals recalculate when quantities change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Card payment callback lost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Payment remains pending/unknown until verified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Courier location unavailable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UI shows last known status rather than invented movement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SMS registration duplicate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Retry does not create duplicate accounts</w:t>
            </w:r>
          </w:p>
        </w:tc>
      </w:tr>
      <w:tr>
        <w:tc>
          <w:tcPr>
            <w:tcW w:w="4500" w:type="dxa"/>
          </w:tcPr>
          <w:p>
            <w:pPr>
              <w:pStyle w:val="Normal"/>
            </w:pPr>
            <w:r>
              <w:t xml:space="preserve">Role separation</w:t>
            </w:r>
          </w:p>
        </w:tc>
        <w:tc>
          <w:tcPr>
            <w:tcW w:w="4500" w:type="dxa"/>
          </w:tcPr>
          <w:p>
            <w:pPr>
              <w:pStyle w:val="Normal"/>
            </w:pPr>
            <w:r>
              <w:t xml:space="preserve">Customer cannot perform courier-only actions</w:t>
            </w:r>
          </w:p>
        </w:tc>
      </w:tr>
    </w:tbl>
    <w:p>
      <w:pPr>
        <w:pStyle w:val="Normal"/>
      </w:pPr>
      <w:r>
        <w:t xml:space="preserve">Tests in this section are new educational suggestions derived from the requirements, not verbatim source text.</w:t>
      </w:r>
    </w:p>
    <w:p>
      <w:pPr>
        <w:pStyle w:val="Normal"/>
      </w:pPr>
      <w:r>
        <w:t xml:space="preserve">Related: Food delivery BPMN download, database schema example, blank SRS template. Licence: CC BY 4.0.</w:t>
      </w:r>
    </w:p>
    <w:p>
      <w:pPr>
        <w:pStyle w:val="Subtitle"/>
      </w:pPr>
      <w:r>
        <w:t xml:space="preserve">Source: Architecture &amp; Analysis Hub — Sergei Budnik — CC BY 4.0</w:t>
      </w:r>
    </w:p>
    <w:sectPr>
      <w:pgSz w:w="11906" w:h="16838"/>
      <w:pgMar w:top="950" w:right="1020" w:bottom="9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10"/>
    </w:pPr>
    <w:rPr>
      <w:b/>
      <w:color w:val="17465A"/>
      <w:sz w:val="34"/>
    </w:rPr>
  </w:style>
  <w:style w:type="paragraph" w:styleId="Heading1">
    <w:name w:val="heading 1"/>
    <w:pPr>
      <w:keepNext/>
      <w:spacing w:before="230" w:after="95"/>
    </w:pPr>
    <w:rPr>
      <w:b/>
      <w:color w:val="17465A"/>
      <w:sz w:val="27"/>
    </w:rPr>
  </w:style>
  <w:style w:type="paragraph" w:styleId="Heading2">
    <w:name w:val="heading 2"/>
    <w:pPr>
      <w:keepNext/>
      <w:spacing w:before="160" w:after="70"/>
    </w:pPr>
    <w:rPr>
      <w:b/>
      <w:color w:val="2F657C"/>
      <w:sz w:val="22"/>
    </w:rPr>
  </w:style>
  <w:style w:type="paragraph" w:styleId="Code">
    <w:name w:val="Code"/>
    <w:rPr>
      <w:rFonts w:ascii="Consolas" w:hAnsi="Consolas"/>
      <w:sz w:val="17"/>
    </w:rPr>
  </w:style>
  <w:style w:type="paragraph" w:styleId="TblHead">
    <w:name w:val="TblHead"/>
    <w:rPr>
      <w:b/>
      <w:sz w:val="18"/>
    </w:rPr>
  </w:style>
  <w:style w:type="paragraph" w:styleId="Quote">
    <w:name w:val="Quote"/>
    <w:rPr>
      <w:i/>
    </w:rPr>
  </w:style>
  <w:style w:type="paragraph" w:styleId="Subtitle">
    <w:name w:val="Subtitle"/>
    <w:rPr>
      <w:i/>
      <w:color w:val="556B77"/>
      <w:sz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