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Title"/>
      </w:pPr>
      <w:r>
        <w:t xml:space="preserve">Software Requirements Specification: Travel Booking Platform</w:t>
      </w:r>
    </w:p>
    <w:p>
      <w:pPr>
        <w:pStyle w:val="Normal"/>
      </w:pPr>
      <w:r>
        <w:t xml:space="preserve">Source: Sergei Budnik, \SRSEXAMPLE2.docx\ (STORAGE v1.0.0, 2025-09-04). Public edition: October 2026. This document preserves the original requirements categories and their sample targets. It is a fictional educational specification, not a deployed booking system or an SLA commitment.</w:t>
      </w:r>
    </w:p>
    <w:p>
      <w:pPr>
        <w:pStyle w:val="Heading1"/>
      </w:pPr>
      <w:r>
        <w:t xml:space="preserve">1. Introduction</w:t>
      </w:r>
    </w:p>
    <w:p>
      <w:pPr>
        <w:pStyle w:val="Normal"/>
      </w:pPr>
      <w:r>
        <w:t xml:space="preserve">Purpose: Specify functional and non-functional requirements for a combined travel-booking interface.</w:t>
      </w:r>
    </w:p>
    <w:p>
      <w:pPr>
        <w:pStyle w:val="Normal"/>
      </w:pPr>
      <w:r>
        <w:t xml:space="preserve">Scope: Flight, hotel and vehicle-rental search and booking; multilingual and multi-currency support; card and digital-wallet payment options; a loyalty programme; responsive web and mobile channels. Both individual and business travellers are in the conceptual audience.</w:t>
      </w:r>
    </w:p>
    <w:p>
      <w:pPr>
        <w:pStyle w:val="Normal"/>
      </w:pPr>
      <w:r>
        <w:t xml:space="preserve">Terms: OTA — Online Travel Agency; API — Application Programming Interface; PNR — Passenger Name Record; GDPR — General Data Protection Regulation; PSD2 — Payment Services Directive 2.</w:t>
      </w:r>
    </w:p>
    <w:p>
      <w:pPr>
        <w:pStyle w:val="Heading1"/>
      </w:pPr>
      <w:r>
        <w:t xml:space="preserve">2. Overall description</w:t>
      </w:r>
    </w:p>
    <w:p>
      <w:pPr>
        <w:pStyle w:val="Normal"/>
      </w:pPr>
      <w:r>
        <w:t xml:space="preserve">The source describes a service consolidating separate booking suppliers into a single product. Technical users need travel-provider integrations, payment gateways and customer notification capability.</w:t>
      </w:r>
    </w:p>
    <w:tbl>
      <w:tblPr>
        <w:tblW w:w="9000" w:type="dxa"/>
        <w:tblBorders>
          <w:top w:val="single" w:color="D0DDE4" w:sz="3"/>
          <w:left w:val="single" w:color="D0DDE4" w:sz="3"/>
          <w:bottom w:val="single" w:color="D0DDE4" w:sz="3"/>
          <w:right w:val="single" w:color="D0DDE4" w:sz="3"/>
          <w:insideH w:val="single" w:color="D0DDE4" w:sz="3"/>
          <w:insideV w:val="single" w:color="D0DDE4" w:sz="3"/>
        </w:tblBorders>
      </w:tblPr>
      <w:tblGrid>
        <w:gridCol w:w="4500"/>
        <w:gridCol w:w="4500"/>
      </w:tblGrid>
      <w:tr>
        <w:tc>
          <w:tcPr>
            <w:tcW w:w="4500" w:type="dxa"/>
            <w:shd w:fill="DDECF3"/>
          </w:tcPr>
          <w:p>
            <w:pPr>
              <w:pStyle w:val="TblHead"/>
            </w:pPr>
            <w:r>
              <w:t xml:space="preserve">Domain</w:t>
            </w:r>
          </w:p>
        </w:tc>
        <w:tc>
          <w:tcPr>
            <w:tcW w:w="4500" w:type="dxa"/>
            <w:shd w:fill="DDECF3"/>
          </w:tcPr>
          <w:p>
            <w:pPr>
              <w:pStyle w:val="TblHead"/>
            </w:pPr>
            <w:r>
              <w:t xml:space="preserve">Original example's planned capability</w:t>
            </w:r>
          </w:p>
        </w:tc>
      </w:tr>
      <w:tr>
        <w:tc>
          <w:tcPr>
            <w:tcW w:w="4500" w:type="dxa"/>
          </w:tcPr>
          <w:p>
            <w:pPr>
              <w:pStyle w:val="Normal"/>
            </w:pPr>
            <w:r>
              <w:t xml:space="preserve">Travel search</w:t>
            </w:r>
          </w:p>
        </w:tc>
        <w:tc>
          <w:tcPr>
            <w:tcW w:w="4500" w:type="dxa"/>
          </w:tcPr>
          <w:p>
            <w:pPr>
              <w:pStyle w:val="Normal"/>
            </w:pPr>
            <w:r>
              <w:t xml:space="preserve">Search and compare flights, hotels and car rentals</w:t>
            </w:r>
          </w:p>
        </w:tc>
      </w:tr>
      <w:tr>
        <w:tc>
          <w:tcPr>
            <w:tcW w:w="4500" w:type="dxa"/>
          </w:tcPr>
          <w:p>
            <w:pPr>
              <w:pStyle w:val="Normal"/>
            </w:pPr>
            <w:r>
              <w:t xml:space="preserve">Booking</w:t>
            </w:r>
          </w:p>
        </w:tc>
        <w:tc>
          <w:tcPr>
            <w:tcW w:w="4500" w:type="dxa"/>
          </w:tcPr>
          <w:p>
            <w:pPr>
              <w:pStyle w:val="Normal"/>
            </w:pPr>
            <w:r>
              <w:t xml:space="preserve">Securely book a selected service</w:t>
            </w:r>
          </w:p>
        </w:tc>
      </w:tr>
      <w:tr>
        <w:tc>
          <w:tcPr>
            <w:tcW w:w="4500" w:type="dxa"/>
          </w:tcPr>
          <w:p>
            <w:pPr>
              <w:pStyle w:val="Normal"/>
            </w:pPr>
            <w:r>
              <w:t xml:space="preserve">Payment</w:t>
            </w:r>
          </w:p>
        </w:tc>
        <w:tc>
          <w:tcPr>
            <w:tcW w:w="4500" w:type="dxa"/>
          </w:tcPr>
          <w:p>
            <w:pPr>
              <w:pStyle w:val="Normal"/>
            </w:pPr>
            <w:r>
              <w:t xml:space="preserve">Visa, Mastercard, PayPal and Apple Pay as illustrative options</w:t>
            </w:r>
          </w:p>
        </w:tc>
      </w:tr>
      <w:tr>
        <w:tc>
          <w:tcPr>
            <w:tcW w:w="4500" w:type="dxa"/>
          </w:tcPr>
          <w:p>
            <w:pPr>
              <w:pStyle w:val="Normal"/>
            </w:pPr>
            <w:r>
              <w:t xml:space="preserve">Loyalty</w:t>
            </w:r>
          </w:p>
        </w:tc>
        <w:tc>
          <w:tcPr>
            <w:tcW w:w="4500" w:type="dxa"/>
          </w:tcPr>
          <w:p>
            <w:pPr>
              <w:pStyle w:val="Normal"/>
            </w:pPr>
            <w:r>
              <w:t xml:space="preserve">Reward points associated with bookings</w:t>
            </w:r>
          </w:p>
        </w:tc>
      </w:tr>
      <w:tr>
        <w:tc>
          <w:tcPr>
            <w:tcW w:w="4500" w:type="dxa"/>
          </w:tcPr>
          <w:p>
            <w:pPr>
              <w:pStyle w:val="Normal"/>
            </w:pPr>
            <w:r>
              <w:t xml:space="preserve">Channels</w:t>
            </w:r>
          </w:p>
        </w:tc>
        <w:tc>
          <w:tcPr>
            <w:tcW w:w="4500" w:type="dxa"/>
          </w:tcPr>
          <w:p>
            <w:pPr>
              <w:pStyle w:val="Normal"/>
            </w:pPr>
            <w:r>
              <w:t xml:space="preserve">Responsive web and mobile</w:t>
            </w:r>
          </w:p>
        </w:tc>
      </w:tr>
      <w:tr>
        <w:tc>
          <w:tcPr>
            <w:tcW w:w="4500" w:type="dxa"/>
          </w:tcPr>
          <w:p>
            <w:pPr>
              <w:pStyle w:val="Normal"/>
            </w:pPr>
            <w:r>
              <w:t xml:space="preserve">Compliance</w:t>
            </w:r>
          </w:p>
        </w:tc>
        <w:tc>
          <w:tcPr>
            <w:tcW w:w="4500" w:type="dxa"/>
          </w:tcPr>
          <w:p>
            <w:pPr>
              <w:pStyle w:val="Normal"/>
            </w:pPr>
            <w:r>
              <w:t xml:space="preserve">Review GDPR and PSD2 applicability for relevant markets</w:t>
            </w:r>
          </w:p>
        </w:tc>
      </w:tr>
    </w:tbl>
    <w:p>
      <w:pPr>
        <w:pStyle w:val="Heading1"/>
      </w:pPr>
      <w:r>
        <w:t xml:space="preserve">3. Functional requirements</w:t>
      </w:r>
    </w:p>
    <w:p>
      <w:pPr>
        <w:pStyle w:val="Normal"/>
      </w:pPr>
      <w:r>
        <w:t xml:space="preserve">The following IDs and business meaning follow the source example:</w:t>
      </w:r>
    </w:p>
    <w:tbl>
      <w:tblPr>
        <w:tblW w:w="9000" w:type="dxa"/>
        <w:tblBorders>
          <w:top w:val="single" w:color="D0DDE4" w:sz="3"/>
          <w:left w:val="single" w:color="D0DDE4" w:sz="3"/>
          <w:bottom w:val="single" w:color="D0DDE4" w:sz="3"/>
          <w:right w:val="single" w:color="D0DDE4" w:sz="3"/>
          <w:insideH w:val="single" w:color="D0DDE4" w:sz="3"/>
          <w:insideV w:val="single" w:color="D0DDE4" w:sz="3"/>
        </w:tblBorders>
      </w:tblPr>
      <w:tblGrid>
        <w:gridCol w:w="4500"/>
        <w:gridCol w:w="4500"/>
      </w:tblGrid>
      <w:tr>
        <w:tc>
          <w:tcPr>
            <w:tcW w:w="4500" w:type="dxa"/>
            <w:shd w:fill="DDECF3"/>
          </w:tcPr>
          <w:p>
            <w:pPr>
              <w:pStyle w:val="TblHead"/>
            </w:pPr>
            <w:r>
              <w:t xml:space="preserve">ID</w:t>
            </w:r>
          </w:p>
        </w:tc>
        <w:tc>
          <w:tcPr>
            <w:tcW w:w="4500" w:type="dxa"/>
            <w:shd w:fill="DDECF3"/>
          </w:tcPr>
          <w:p>
            <w:pPr>
              <w:pStyle w:val="TblHead"/>
            </w:pPr>
            <w:r>
              <w:t xml:space="preserve">Requirement</w:t>
            </w:r>
          </w:p>
        </w:tc>
      </w:tr>
      <w:tr>
        <w:tc>
          <w:tcPr>
            <w:tcW w:w="4500" w:type="dxa"/>
          </w:tcPr>
          <w:p>
            <w:pPr>
              <w:pStyle w:val="Normal"/>
            </w:pPr>
            <w:r>
              <w:t xml:space="preserve">FR-01</w:t>
            </w:r>
          </w:p>
        </w:tc>
        <w:tc>
          <w:tcPr>
            <w:tcW w:w="4500" w:type="dxa"/>
          </w:tcPr>
          <w:p>
            <w:pPr>
              <w:pStyle w:val="Normal"/>
            </w:pPr>
            <w:r>
              <w:t xml:space="preserve">Search flights by origin, destination, date and passenger count</w:t>
            </w:r>
          </w:p>
        </w:tc>
      </w:tr>
      <w:tr>
        <w:tc>
          <w:tcPr>
            <w:tcW w:w="4500" w:type="dxa"/>
          </w:tcPr>
          <w:p>
            <w:pPr>
              <w:pStyle w:val="Normal"/>
            </w:pPr>
            <w:r>
              <w:t xml:space="preserve">FR-02</w:t>
            </w:r>
          </w:p>
        </w:tc>
        <w:tc>
          <w:tcPr>
            <w:tcW w:w="4500" w:type="dxa"/>
          </w:tcPr>
          <w:p>
            <w:pPr>
              <w:pStyle w:val="Normal"/>
            </w:pPr>
            <w:r>
              <w:t xml:space="preserve">Allow booking of flights, hotels and car rentals</w:t>
            </w:r>
          </w:p>
        </w:tc>
      </w:tr>
      <w:tr>
        <w:tc>
          <w:tcPr>
            <w:tcW w:w="4500" w:type="dxa"/>
          </w:tcPr>
          <w:p>
            <w:pPr>
              <w:pStyle w:val="Normal"/>
            </w:pPr>
            <w:r>
              <w:t xml:space="preserve">FR-03</w:t>
            </w:r>
          </w:p>
        </w:tc>
        <w:tc>
          <w:tcPr>
            <w:tcW w:w="4500" w:type="dxa"/>
          </w:tcPr>
          <w:p>
            <w:pPr>
              <w:pStyle w:val="Normal"/>
            </w:pPr>
            <w:r>
              <w:t xml:space="preserve">Offer payment methods listed in the example</w:t>
            </w:r>
          </w:p>
        </w:tc>
      </w:tr>
      <w:tr>
        <w:tc>
          <w:tcPr>
            <w:tcW w:w="4500" w:type="dxa"/>
          </w:tcPr>
          <w:p>
            <w:pPr>
              <w:pStyle w:val="Normal"/>
            </w:pPr>
            <w:r>
              <w:t xml:space="preserve">FR-04</w:t>
            </w:r>
          </w:p>
        </w:tc>
        <w:tc>
          <w:tcPr>
            <w:tcW w:w="4500" w:type="dxa"/>
          </w:tcPr>
          <w:p>
            <w:pPr>
              <w:pStyle w:val="Normal"/>
            </w:pPr>
            <w:r>
              <w:t xml:space="preserve">Loyalty programme with an illustrative 5% reward-points rule per booking</w:t>
            </w:r>
          </w:p>
        </w:tc>
      </w:tr>
      <w:tr>
        <w:tc>
          <w:tcPr>
            <w:tcW w:w="4500" w:type="dxa"/>
          </w:tcPr>
          <w:p>
            <w:pPr>
              <w:pStyle w:val="Normal"/>
            </w:pPr>
            <w:r>
              <w:t xml:space="preserve">FR-05</w:t>
            </w:r>
          </w:p>
        </w:tc>
        <w:tc>
          <w:tcPr>
            <w:tcW w:w="4500" w:type="dxa"/>
          </w:tcPr>
          <w:p>
            <w:pPr>
              <w:pStyle w:val="Normal"/>
            </w:pPr>
            <w:r>
              <w:t xml:space="preserve">Send booking confirmation emails within 2 minutes</w:t>
            </w:r>
          </w:p>
        </w:tc>
      </w:tr>
    </w:tbl>
    <w:p>
      <w:pPr>
        <w:pStyle w:val="Normal"/>
      </w:pPr>
      <w:r>
        <w:t xml:space="preserve">These figures are requirements stated in the source example, not measured outcomes.</w:t>
      </w:r>
    </w:p>
    <w:p>
      <w:pPr>
        <w:pStyle w:val="Heading1"/>
      </w:pPr>
      <w:r>
        <w:t xml:space="preserve">4. Usability requirements</w:t>
      </w:r>
    </w:p>
    <w:p>
      <w:pPr>
        <w:pStyle w:val="Normal"/>
      </w:pPr>
      <w:r>
        <w:t xml:space="preserve">The source calls for responsive interfaces, four languages (English, Spanish, German, French), booking completion in under five minutes on average for new users, and WCAG 2.2 AA accessibility. In a real project define usability test population and sample size.</w:t>
      </w:r>
    </w:p>
    <w:p>
      <w:pPr>
        <w:pStyle w:val="Heading1"/>
      </w:pPr>
      <w:r>
        <w:t xml:space="preserve">5. Reliability requirements</w:t>
      </w:r>
    </w:p>
    <w:tbl>
      <w:tblPr>
        <w:tblW w:w="9000" w:type="dxa"/>
        <w:tblBorders>
          <w:top w:val="single" w:color="D0DDE4" w:sz="3"/>
          <w:left w:val="single" w:color="D0DDE4" w:sz="3"/>
          <w:bottom w:val="single" w:color="D0DDE4" w:sz="3"/>
          <w:right w:val="single" w:color="D0DDE4" w:sz="3"/>
          <w:insideH w:val="single" w:color="D0DDE4" w:sz="3"/>
          <w:insideV w:val="single" w:color="D0DDE4" w:sz="3"/>
        </w:tblBorders>
      </w:tblPr>
      <w:tblGrid>
        <w:gridCol w:w="3000"/>
        <w:gridCol w:w="3000"/>
        <w:gridCol w:w="3000"/>
      </w:tblGrid>
      <w:tr>
        <w:tc>
          <w:tcPr>
            <w:tcW w:w="3000" w:type="dxa"/>
            <w:shd w:fill="DDECF3"/>
          </w:tcPr>
          <w:p>
            <w:pPr>
              <w:pStyle w:val="TblHead"/>
            </w:pPr>
            <w:r>
              <w:t xml:space="preserve">Attribute</w:t>
            </w:r>
          </w:p>
        </w:tc>
        <w:tc>
          <w:tcPr>
            <w:tcW w:w="3000" w:type="dxa"/>
            <w:shd w:fill="DDECF3"/>
          </w:tcPr>
          <w:p>
            <w:pPr>
              <w:pStyle w:val="TblHead"/>
            </w:pPr>
            <w:r>
              <w:t xml:space="preserve">Source target</w:t>
            </w:r>
          </w:p>
        </w:tc>
        <w:tc>
          <w:tcPr>
            <w:tcW w:w="3000" w:type="dxa"/>
            <w:shd w:fill="DDECF3"/>
          </w:tcPr>
          <w:p>
            <w:pPr>
              <w:pStyle w:val="TblHead"/>
            </w:pPr>
            <w:r>
              <w:t xml:space="preserve">Verification method suggested for a real project</w:t>
            </w:r>
          </w:p>
        </w:tc>
      </w:tr>
      <w:tr>
        <w:tc>
          <w:tcPr>
            <w:tcW w:w="3000" w:type="dxa"/>
          </w:tcPr>
          <w:p>
            <w:pPr>
              <w:pStyle w:val="Normal"/>
            </w:pPr>
            <w:r>
              <w:t xml:space="preserve">Availability</w:t>
            </w:r>
          </w:p>
        </w:tc>
        <w:tc>
          <w:tcPr>
            <w:tcW w:w="3000" w:type="dxa"/>
          </w:tcPr>
          <w:p>
            <w:pPr>
              <w:pStyle w:val="Normal"/>
            </w:pPr>
            <w:r>
              <w:t xml:space="preserve">99.9% uptime per calendar month</w:t>
            </w:r>
          </w:p>
        </w:tc>
        <w:tc>
          <w:tcPr>
            <w:tcW w:w="3000" w:type="dxa"/>
          </w:tcPr>
          <w:p>
            <w:pPr>
              <w:pStyle w:val="Normal"/>
            </w:pPr>
            <w:r>
              <w:t xml:space="preserve">SLI/SLO monitoring with agreed exclusions</w:t>
            </w:r>
          </w:p>
        </w:tc>
      </w:tr>
      <w:tr>
        <w:tc>
          <w:tcPr>
            <w:tcW w:w="3000" w:type="dxa"/>
          </w:tcPr>
          <w:p>
            <w:pPr>
              <w:pStyle w:val="Normal"/>
            </w:pPr>
            <w:r>
              <w:t xml:space="preserve">MTBF</w:t>
            </w:r>
          </w:p>
        </w:tc>
        <w:tc>
          <w:tcPr>
            <w:tcW w:w="3000" w:type="dxa"/>
          </w:tcPr>
          <w:p>
            <w:pPr>
              <w:pStyle w:val="Normal"/>
            </w:pPr>
            <w:r>
              <w:t xml:space="preserve">500 hours</w:t>
            </w:r>
          </w:p>
        </w:tc>
        <w:tc>
          <w:tcPr>
            <w:tcW w:w="3000" w:type="dxa"/>
          </w:tcPr>
          <w:p>
            <w:pPr>
              <w:pStyle w:val="Normal"/>
            </w:pPr>
            <w:r>
              <w:t xml:space="preserve">Incident and failure history</w:t>
            </w:r>
          </w:p>
        </w:tc>
      </w:tr>
      <w:tr>
        <w:tc>
          <w:tcPr>
            <w:tcW w:w="3000" w:type="dxa"/>
          </w:tcPr>
          <w:p>
            <w:pPr>
              <w:pStyle w:val="Normal"/>
            </w:pPr>
            <w:r>
              <w:t xml:space="preserve">MTTR</w:t>
            </w:r>
          </w:p>
        </w:tc>
        <w:tc>
          <w:tcPr>
            <w:tcW w:w="3000" w:type="dxa"/>
          </w:tcPr>
          <w:p>
            <w:pPr>
              <w:pStyle w:val="Normal"/>
            </w:pPr>
            <w:r>
              <w:t xml:space="preserve">2 hours</w:t>
            </w:r>
          </w:p>
        </w:tc>
        <w:tc>
          <w:tcPr>
            <w:tcW w:w="3000" w:type="dxa"/>
          </w:tcPr>
          <w:p>
            <w:pPr>
              <w:pStyle w:val="Normal"/>
            </w:pPr>
            <w:r>
              <w:t xml:space="preserve">Recovery exercise and incident review</w:t>
            </w:r>
          </w:p>
        </w:tc>
      </w:tr>
      <w:tr>
        <w:tc>
          <w:tcPr>
            <w:tcW w:w="3000" w:type="dxa"/>
          </w:tcPr>
          <w:p>
            <w:pPr>
              <w:pStyle w:val="Normal"/>
            </w:pPr>
            <w:r>
              <w:t xml:space="preserve">Data integrity</w:t>
            </w:r>
          </w:p>
        </w:tc>
        <w:tc>
          <w:tcPr>
            <w:tcW w:w="3000" w:type="dxa"/>
          </w:tcPr>
          <w:p>
            <w:pPr>
              <w:pStyle w:val="Normal"/>
            </w:pPr>
            <w:r>
              <w:t xml:space="preserve">Preserve booking transactions</w:t>
            </w:r>
          </w:p>
        </w:tc>
        <w:tc>
          <w:tcPr>
            <w:tcW w:w="3000" w:type="dxa"/>
          </w:tcPr>
          <w:p>
            <w:pPr>
              <w:pStyle w:val="Normal"/>
            </w:pPr>
            <w:r>
              <w:t xml:space="preserve">Fault injection, outbox/idempotency tests</w:t>
            </w:r>
          </w:p>
        </w:tc>
      </w:tr>
      <w:tr>
        <w:tc>
          <w:tcPr>
            <w:tcW w:w="3000" w:type="dxa"/>
          </w:tcPr>
          <w:p>
            <w:pPr>
              <w:pStyle w:val="Normal"/>
            </w:pPr>
            <w:r>
              <w:t xml:space="preserve">Defect tolerance</w:t>
            </w:r>
          </w:p>
        </w:tc>
        <w:tc>
          <w:tcPr>
            <w:tcW w:w="3000" w:type="dxa"/>
          </w:tcPr>
          <w:p>
            <w:pPr>
              <w:pStyle w:val="Normal"/>
            </w:pPr>
            <w:r>
              <w:t xml:space="preserve">At most 1 critical bug per release</w:t>
            </w:r>
          </w:p>
        </w:tc>
        <w:tc>
          <w:tcPr>
            <w:tcW w:w="3000" w:type="dxa"/>
          </w:tcPr>
          <w:p>
            <w:pPr>
              <w:pStyle w:val="Normal"/>
            </w:pPr>
            <w:r>
              <w:t xml:space="preserve">Agreed severity and quality gate</w:t>
            </w:r>
          </w:p>
        </w:tc>
      </w:tr>
    </w:tbl>
    <w:p>
      <w:pPr>
        <w:pStyle w:val="Normal"/>
      </w:pPr>
      <w:r>
        <w:t xml:space="preserve">The availability, MTBF and MTTR figures must be reconciled by an actual owner before contractual use. They are preserved as-is from the example.</w:t>
      </w:r>
    </w:p>
    <w:p>
      <w:pPr>
        <w:pStyle w:val="Heading1"/>
      </w:pPr>
      <w:r>
        <w:t xml:space="preserve">6. Performance requirements</w:t>
      </w:r>
    </w:p>
    <w:tbl>
      <w:tblPr>
        <w:tblW w:w="9000" w:type="dxa"/>
        <w:tblBorders>
          <w:top w:val="single" w:color="D0DDE4" w:sz="3"/>
          <w:left w:val="single" w:color="D0DDE4" w:sz="3"/>
          <w:bottom w:val="single" w:color="D0DDE4" w:sz="3"/>
          <w:right w:val="single" w:color="D0DDE4" w:sz="3"/>
          <w:insideH w:val="single" w:color="D0DDE4" w:sz="3"/>
          <w:insideV w:val="single" w:color="D0DDE4" w:sz="3"/>
        </w:tblBorders>
      </w:tblPr>
      <w:tblGrid>
        <w:gridCol w:w="4500"/>
        <w:gridCol w:w="4500"/>
      </w:tblGrid>
      <w:tr>
        <w:tc>
          <w:tcPr>
            <w:tcW w:w="4500" w:type="dxa"/>
            <w:shd w:fill="DDECF3"/>
          </w:tcPr>
          <w:p>
            <w:pPr>
              <w:pStyle w:val="TblHead"/>
            </w:pPr>
            <w:r>
              <w:t xml:space="preserve">Metric</w:t>
            </w:r>
          </w:p>
        </w:tc>
        <w:tc>
          <w:tcPr>
            <w:tcW w:w="4500" w:type="dxa"/>
            <w:shd w:fill="DDECF3"/>
          </w:tcPr>
          <w:p>
            <w:pPr>
              <w:pStyle w:val="TblHead"/>
            </w:pPr>
            <w:r>
              <w:t xml:space="preserve">Original target</w:t>
            </w:r>
          </w:p>
        </w:tc>
      </w:tr>
      <w:tr>
        <w:tc>
          <w:tcPr>
            <w:tcW w:w="4500" w:type="dxa"/>
          </w:tcPr>
          <w:p>
            <w:pPr>
              <w:pStyle w:val="Normal"/>
            </w:pPr>
            <w:r>
              <w:t xml:space="preserve">Search</w:t>
            </w:r>
          </w:p>
        </w:tc>
        <w:tc>
          <w:tcPr>
            <w:tcW w:w="4500" w:type="dxa"/>
          </w:tcPr>
          <w:p>
            <w:pPr>
              <w:pStyle w:val="Normal"/>
            </w:pPr>
            <w:r>
              <w:t xml:space="preserve">p95 ≤ 2 seconds</w:t>
            </w:r>
          </w:p>
        </w:tc>
      </w:tr>
      <w:tr>
        <w:tc>
          <w:tcPr>
            <w:tcW w:w="4500" w:type="dxa"/>
          </w:tcPr>
          <w:p>
            <w:pPr>
              <w:pStyle w:val="Normal"/>
            </w:pPr>
            <w:r>
              <w:t xml:space="preserve">Booking transaction completion</w:t>
            </w:r>
          </w:p>
        </w:tc>
        <w:tc>
          <w:tcPr>
            <w:tcW w:w="4500" w:type="dxa"/>
          </w:tcPr>
          <w:p>
            <w:pPr>
              <w:pStyle w:val="Normal"/>
            </w:pPr>
            <w:r>
              <w:t xml:space="preserve">≤ 5 seconds</w:t>
            </w:r>
          </w:p>
        </w:tc>
      </w:tr>
      <w:tr>
        <w:tc>
          <w:tcPr>
            <w:tcW w:w="4500" w:type="dxa"/>
          </w:tcPr>
          <w:p>
            <w:pPr>
              <w:pStyle w:val="Normal"/>
            </w:pPr>
            <w:r>
              <w:t xml:space="preserve">Concurrent user capacity</w:t>
            </w:r>
          </w:p>
        </w:tc>
        <w:tc>
          <w:tcPr>
            <w:tcW w:w="4500" w:type="dxa"/>
          </w:tcPr>
          <w:p>
            <w:pPr>
              <w:pStyle w:val="Normal"/>
            </w:pPr>
            <w:r>
              <w:t xml:space="preserve">1,000</w:t>
            </w:r>
          </w:p>
        </w:tc>
      </w:tr>
      <w:tr>
        <w:tc>
          <w:tcPr>
            <w:tcW w:w="4500" w:type="dxa"/>
          </w:tcPr>
          <w:p>
            <w:pPr>
              <w:pStyle w:val="Normal"/>
            </w:pPr>
            <w:r>
              <w:t xml:space="preserve">Booking throughput</w:t>
            </w:r>
          </w:p>
        </w:tc>
        <w:tc>
          <w:tcPr>
            <w:tcW w:w="4500" w:type="dxa"/>
          </w:tcPr>
          <w:p>
            <w:pPr>
              <w:pStyle w:val="Normal"/>
            </w:pPr>
            <w:r>
              <w:t xml:space="preserve">≥ 50 per minute</w:t>
            </w:r>
          </w:p>
        </w:tc>
      </w:tr>
      <w:tr>
        <w:tc>
          <w:tcPr>
            <w:tcW w:w="4500" w:type="dxa"/>
          </w:tcPr>
          <w:p>
            <w:pPr>
              <w:pStyle w:val="Normal"/>
            </w:pPr>
            <w:r>
              <w:t xml:space="preserve">Elastic peak tolerance</w:t>
            </w:r>
          </w:p>
        </w:tc>
        <w:tc>
          <w:tcPr>
            <w:tcW w:w="4500" w:type="dxa"/>
          </w:tcPr>
          <w:p>
            <w:pPr>
              <w:pStyle w:val="Normal"/>
            </w:pPr>
            <w:r>
              <w:t xml:space="preserve">5× average load</w:t>
            </w:r>
          </w:p>
        </w:tc>
      </w:tr>
    </w:tbl>
    <w:p>
      <w:pPr>
        <w:pStyle w:val="Normal"/>
      </w:pPr>
      <w:r>
        <w:t xml:space="preserve">Architecture note (new): An external airline/hotel booking and asynchronous payment confirmation can take longer than an API request. Define what “booking complete” means before interpreting the 5-second limit as end-to-end financial finality.</w:t>
      </w:r>
    </w:p>
    <w:p>
      <w:pPr>
        <w:pStyle w:val="Heading1"/>
      </w:pPr>
      <w:r>
        <w:t xml:space="preserve">7. Supportability and technical constraints</w:t>
      </w:r>
    </w:p>
    <w:p>
      <w:pPr>
        <w:pStyle w:val="Normal"/>
      </w:pPr>
      <w:r>
        <w:t xml:space="preserve">The original specifies audit/logging for critical operations, automated failure/SLA alerts, API integration documentation, conventions and CI/CD. It proposes React, Node.js, AWS and PostgreSQL. These are constraints of the example, not required industry standards.</w:t>
      </w:r>
    </w:p>
    <w:p>
      <w:pPr>
        <w:pStyle w:val="Normal"/>
      </w:pPr>
      <w:r>
        <w:t xml:space="preserve">The source also asks for applicable GDPR/PSD2 controls and 3-D Secure 2.0 support in payments. A real design needs legal and payment-service provider review.</w:t>
      </w:r>
    </w:p>
    <w:p>
      <w:pPr>
        <w:pStyle w:val="Heading1"/>
      </w:pPr>
      <w:r>
        <w:t xml:space="preserve">8. Purchased and external components</w:t>
      </w:r>
    </w:p>
    <w:p>
      <w:pPr>
        <w:pStyle w:val="Normal"/>
      </w:pPr>
      <w:r>
        <w:t xml:space="preserve">The source names examples of travel suppliers (Amadeus, Booking.com and Hertz) and payment providers (Stripe and PayPal). This web edition does not claim an integration exists or that their current commercial APIs grant access. Substitute licensed suppliers and verified provider contracts in an implementation.</w:t>
      </w:r>
    </w:p>
    <w:p>
      <w:pPr>
        <w:pStyle w:val="Heading1"/>
      </w:pPr>
      <w:r>
        <w:t xml:space="preserve">9. Interfaces and supporting information</w:t>
      </w:r>
    </w:p>
    <w:tbl>
      <w:tblPr>
        <w:tblW w:w="9000" w:type="dxa"/>
        <w:tblBorders>
          <w:top w:val="single" w:color="D0DDE4" w:sz="3"/>
          <w:left w:val="single" w:color="D0DDE4" w:sz="3"/>
          <w:bottom w:val="single" w:color="D0DDE4" w:sz="3"/>
          <w:right w:val="single" w:color="D0DDE4" w:sz="3"/>
          <w:insideH w:val="single" w:color="D0DDE4" w:sz="3"/>
          <w:insideV w:val="single" w:color="D0DDE4" w:sz="3"/>
        </w:tblBorders>
      </w:tblPr>
      <w:tblGrid>
        <w:gridCol w:w="4500"/>
        <w:gridCol w:w="4500"/>
      </w:tblGrid>
      <w:tr>
        <w:tc>
          <w:tcPr>
            <w:tcW w:w="4500" w:type="dxa"/>
            <w:shd w:fill="DDECF3"/>
          </w:tcPr>
          <w:p>
            <w:pPr>
              <w:pStyle w:val="TblHead"/>
            </w:pPr>
            <w:r>
              <w:t xml:space="preserve">Interface</w:t>
            </w:r>
          </w:p>
        </w:tc>
        <w:tc>
          <w:tcPr>
            <w:tcW w:w="4500" w:type="dxa"/>
            <w:shd w:fill="DDECF3"/>
          </w:tcPr>
          <w:p>
            <w:pPr>
              <w:pStyle w:val="TblHead"/>
            </w:pPr>
            <w:r>
              <w:t xml:space="preserve">Considerations</w:t>
            </w:r>
          </w:p>
        </w:tc>
      </w:tr>
      <w:tr>
        <w:tc>
          <w:tcPr>
            <w:tcW w:w="4500" w:type="dxa"/>
          </w:tcPr>
          <w:p>
            <w:pPr>
              <w:pStyle w:val="Normal"/>
            </w:pPr>
            <w:r>
              <w:t xml:space="preserve">User interface</w:t>
            </w:r>
          </w:p>
        </w:tc>
        <w:tc>
          <w:tcPr>
            <w:tcW w:w="4500" w:type="dxa"/>
          </w:tcPr>
          <w:p>
            <w:pPr>
              <w:pStyle w:val="Normal"/>
            </w:pPr>
            <w:r>
              <w:t xml:space="preserve">Responsive web and mobile apps</w:t>
            </w:r>
          </w:p>
        </w:tc>
      </w:tr>
      <w:tr>
        <w:tc>
          <w:tcPr>
            <w:tcW w:w="4500" w:type="dxa"/>
          </w:tcPr>
          <w:p>
            <w:pPr>
              <w:pStyle w:val="Normal"/>
            </w:pPr>
            <w:r>
              <w:t xml:space="preserve">Software</w:t>
            </w:r>
          </w:p>
        </w:tc>
        <w:tc>
          <w:tcPr>
            <w:tcW w:w="4500" w:type="dxa"/>
          </w:tcPr>
          <w:p>
            <w:pPr>
              <w:pStyle w:val="Normal"/>
            </w:pPr>
            <w:r>
              <w:t xml:space="preserve">Vendor API, payment API, loyalty service</w:t>
            </w:r>
          </w:p>
        </w:tc>
      </w:tr>
      <w:tr>
        <w:tc>
          <w:tcPr>
            <w:tcW w:w="4500" w:type="dxa"/>
          </w:tcPr>
          <w:p>
            <w:pPr>
              <w:pStyle w:val="Normal"/>
            </w:pPr>
            <w:r>
              <w:t xml:space="preserve">Communications</w:t>
            </w:r>
          </w:p>
        </w:tc>
        <w:tc>
          <w:tcPr>
            <w:tcW w:w="4500" w:type="dxa"/>
          </w:tcPr>
          <w:p>
            <w:pPr>
              <w:pStyle w:val="Normal"/>
            </w:pPr>
            <w:r>
              <w:t xml:space="preserve">HTTPS/TLS with credential protection</w:t>
            </w:r>
          </w:p>
        </w:tc>
      </w:tr>
      <w:tr>
        <w:tc>
          <w:tcPr>
            <w:tcW w:w="4500" w:type="dxa"/>
          </w:tcPr>
          <w:p>
            <w:pPr>
              <w:pStyle w:val="Normal"/>
            </w:pPr>
            <w:r>
              <w:t xml:space="preserve">Online help</w:t>
            </w:r>
          </w:p>
        </w:tc>
        <w:tc>
          <w:tcPr>
            <w:tcW w:w="4500" w:type="dxa"/>
          </w:tcPr>
          <w:p>
            <w:pPr>
              <w:pStyle w:val="Normal"/>
            </w:pPr>
            <w:r>
              <w:t xml:space="preserve">User manual, contextual help, FAQs</w:t>
            </w:r>
          </w:p>
        </w:tc>
      </w:tr>
      <w:tr>
        <w:tc>
          <w:tcPr>
            <w:tcW w:w="4500" w:type="dxa"/>
          </w:tcPr>
          <w:p>
            <w:pPr>
              <w:pStyle w:val="Normal"/>
            </w:pPr>
            <w:r>
              <w:t xml:space="preserve">Licensing</w:t>
            </w:r>
          </w:p>
        </w:tc>
        <w:tc>
          <w:tcPr>
            <w:tcW w:w="4500" w:type="dxa"/>
          </w:tcPr>
          <w:p>
            <w:pPr>
              <w:pStyle w:val="Normal"/>
            </w:pPr>
            <w:r>
              <w:t xml:space="preserve">Commercial API licences and third-party open-source notices</w:t>
            </w:r>
          </w:p>
        </w:tc>
      </w:tr>
    </w:tbl>
    <w:p>
      <w:pPr>
        <w:pStyle w:val="Heading1"/>
      </w:pPr>
      <w:r>
        <w:t xml:space="preserve">10. Suggested test and traceability matrix (new)</w:t>
      </w:r>
    </w:p>
    <w:tbl>
      <w:tblPr>
        <w:tblW w:w="9000" w:type="dxa"/>
        <w:tblBorders>
          <w:top w:val="single" w:color="D0DDE4" w:sz="3"/>
          <w:left w:val="single" w:color="D0DDE4" w:sz="3"/>
          <w:bottom w:val="single" w:color="D0DDE4" w:sz="3"/>
          <w:right w:val="single" w:color="D0DDE4" w:sz="3"/>
          <w:insideH w:val="single" w:color="D0DDE4" w:sz="3"/>
          <w:insideV w:val="single" w:color="D0DDE4" w:sz="3"/>
        </w:tblBorders>
      </w:tblPr>
      <w:tblGrid>
        <w:gridCol w:w="3000"/>
        <w:gridCol w:w="3000"/>
        <w:gridCol w:w="3000"/>
      </w:tblGrid>
      <w:tr>
        <w:tc>
          <w:tcPr>
            <w:tcW w:w="3000" w:type="dxa"/>
            <w:shd w:fill="DDECF3"/>
          </w:tcPr>
          <w:p>
            <w:pPr>
              <w:pStyle w:val="TblHead"/>
            </w:pPr>
            <w:r>
              <w:t xml:space="preserve">Requirement</w:t>
            </w:r>
          </w:p>
        </w:tc>
        <w:tc>
          <w:tcPr>
            <w:tcW w:w="3000" w:type="dxa"/>
            <w:shd w:fill="DDECF3"/>
          </w:tcPr>
          <w:p>
            <w:pPr>
              <w:pStyle w:val="TblHead"/>
            </w:pPr>
            <w:r>
              <w:t xml:space="preserve">Design owner</w:t>
            </w:r>
          </w:p>
        </w:tc>
        <w:tc>
          <w:tcPr>
            <w:tcW w:w="3000" w:type="dxa"/>
            <w:shd w:fill="DDECF3"/>
          </w:tcPr>
          <w:p>
            <w:pPr>
              <w:pStyle w:val="TblHead"/>
            </w:pPr>
            <w:r>
              <w:t xml:space="preserve">Suggested verification</w:t>
            </w:r>
          </w:p>
        </w:tc>
      </w:tr>
      <w:tr>
        <w:tc>
          <w:tcPr>
            <w:tcW w:w="3000" w:type="dxa"/>
          </w:tcPr>
          <w:p>
            <w:pPr>
              <w:pStyle w:val="Normal"/>
            </w:pPr>
            <w:r>
              <w:t xml:space="preserve">FR-01</w:t>
            </w:r>
          </w:p>
        </w:tc>
        <w:tc>
          <w:tcPr>
            <w:tcW w:w="3000" w:type="dxa"/>
          </w:tcPr>
          <w:p>
            <w:pPr>
              <w:pStyle w:val="Normal"/>
            </w:pPr>
            <w:r>
              <w:t xml:space="preserve">Search Orchestrator</w:t>
            </w:r>
          </w:p>
        </w:tc>
        <w:tc>
          <w:tcPr>
            <w:tcW w:w="3000" w:type="dxa"/>
          </w:tcPr>
          <w:p>
            <w:pPr>
              <w:pStyle w:val="Normal"/>
            </w:pPr>
            <w:r>
              <w:t xml:space="preserve">Search field mapping and supplier timeout</w:t>
            </w:r>
          </w:p>
        </w:tc>
      </w:tr>
      <w:tr>
        <w:tc>
          <w:tcPr>
            <w:tcW w:w="3000" w:type="dxa"/>
          </w:tcPr>
          <w:p>
            <w:pPr>
              <w:pStyle w:val="Normal"/>
            </w:pPr>
            <w:r>
              <w:t xml:space="preserve">FR-02</w:t>
            </w:r>
          </w:p>
        </w:tc>
        <w:tc>
          <w:tcPr>
            <w:tcW w:w="3000" w:type="dxa"/>
          </w:tcPr>
          <w:p>
            <w:pPr>
              <w:pStyle w:val="Normal"/>
            </w:pPr>
            <w:r>
              <w:t xml:space="preserve">Booking Service</w:t>
            </w:r>
          </w:p>
        </w:tc>
        <w:tc>
          <w:tcPr>
            <w:tcW w:w="3000" w:type="dxa"/>
          </w:tcPr>
          <w:p>
            <w:pPr>
              <w:pStyle w:val="Normal"/>
            </w:pPr>
            <w:r>
              <w:t xml:space="preserve">Booking provider confirmation and duplicate protection</w:t>
            </w:r>
          </w:p>
        </w:tc>
      </w:tr>
      <w:tr>
        <w:tc>
          <w:tcPr>
            <w:tcW w:w="3000" w:type="dxa"/>
          </w:tcPr>
          <w:p>
            <w:pPr>
              <w:pStyle w:val="Normal"/>
            </w:pPr>
            <w:r>
              <w:t xml:space="preserve">FR-03</w:t>
            </w:r>
          </w:p>
        </w:tc>
        <w:tc>
          <w:tcPr>
            <w:tcW w:w="3000" w:type="dxa"/>
          </w:tcPr>
          <w:p>
            <w:pPr>
              <w:pStyle w:val="Normal"/>
            </w:pPr>
            <w:r>
              <w:t xml:space="preserve">Payments Adapter</w:t>
            </w:r>
          </w:p>
        </w:tc>
        <w:tc>
          <w:tcPr>
            <w:tcW w:w="3000" w:type="dxa"/>
          </w:tcPr>
          <w:p>
            <w:pPr>
              <w:pStyle w:val="Normal"/>
            </w:pPr>
            <w:r>
              <w:t xml:space="preserve">Real payment authority, failure/unknown mapping</w:t>
            </w:r>
          </w:p>
        </w:tc>
      </w:tr>
      <w:tr>
        <w:tc>
          <w:tcPr>
            <w:tcW w:w="3000" w:type="dxa"/>
          </w:tcPr>
          <w:p>
            <w:pPr>
              <w:pStyle w:val="Normal"/>
            </w:pPr>
            <w:r>
              <w:t xml:space="preserve">FR-04</w:t>
            </w:r>
          </w:p>
        </w:tc>
        <w:tc>
          <w:tcPr>
            <w:tcW w:w="3000" w:type="dxa"/>
          </w:tcPr>
          <w:p>
            <w:pPr>
              <w:pStyle w:val="Normal"/>
            </w:pPr>
            <w:r>
              <w:t xml:space="preserve">Loyalty Service</w:t>
            </w:r>
          </w:p>
        </w:tc>
        <w:tc>
          <w:tcPr>
            <w:tcW w:w="3000" w:type="dxa"/>
          </w:tcPr>
          <w:p>
            <w:pPr>
              <w:pStyle w:val="Normal"/>
            </w:pPr>
            <w:r>
              <w:t xml:space="preserve">Reward ledger and reversal/refund impact</w:t>
            </w:r>
          </w:p>
        </w:tc>
      </w:tr>
      <w:tr>
        <w:tc>
          <w:tcPr>
            <w:tcW w:w="3000" w:type="dxa"/>
          </w:tcPr>
          <w:p>
            <w:pPr>
              <w:pStyle w:val="Normal"/>
            </w:pPr>
            <w:r>
              <w:t xml:space="preserve">FR-05</w:t>
            </w:r>
          </w:p>
        </w:tc>
        <w:tc>
          <w:tcPr>
            <w:tcW w:w="3000" w:type="dxa"/>
          </w:tcPr>
          <w:p>
            <w:pPr>
              <w:pStyle w:val="Normal"/>
            </w:pPr>
            <w:r>
              <w:t xml:space="preserve">Notification Service</w:t>
            </w:r>
          </w:p>
        </w:tc>
        <w:tc>
          <w:tcPr>
            <w:tcW w:w="3000" w:type="dxa"/>
          </w:tcPr>
          <w:p>
            <w:pPr>
              <w:pStyle w:val="Normal"/>
            </w:pPr>
            <w:r>
              <w:t xml:space="preserve">Email queue-to-provider timing and retries</w:t>
            </w:r>
          </w:p>
        </w:tc>
      </w:tr>
    </w:tbl>
    <w:p>
      <w:pPr>
        <w:pStyle w:val="Normal"/>
      </w:pPr>
      <w:r>
        <w:t xml:space="preserve">Source note: The original also contains a generic SRS outline, glossary, revision history and related-artifacts table. Its placeholder guidance has been streamlined, while the concrete source targets and categories above remain visible.</w:t>
      </w:r>
    </w:p>
    <w:p>
      <w:pPr>
        <w:pStyle w:val="Normal"/>
      </w:pPr>
      <w:r>
        <w:t xml:space="preserve">Download: An editable DOCX version is available from the Source-Based Examples catalogue. Licence: CC BY 4.0.</w:t>
      </w:r>
    </w:p>
    <w:p>
      <w:pPr>
        <w:pStyle w:val="Subtitle"/>
      </w:pPr>
      <w:r>
        <w:t xml:space="preserve">Source: Architecture &amp; Analysis Hub — Sergei Budnik — CC BY 4.0</w:t>
      </w:r>
    </w:p>
    <w:sectPr>
      <w:pgSz w:w="11906" w:h="16838"/>
      <w:pgMar w:top="950" w:right="1020" w:bottom="950" w:left="1020"/>
    </w:sectPr>
  </w:body>
</w:document>
</file>

<file path=word/styles.xml><?xml version="1.0" encoding="utf-8"?>
<w:styles xmlns:w="http://schemas.openxmlformats.org/wordprocessingml/2006/main">
  <w:docDefaults>
    <w:rPrDefault>
      <w:rPr>
        <w:rFonts w:ascii="Aptos" w:hAnsi="Aptos"/>
        <w:sz w:val="19"/>
      </w:rPr>
    </w:rPrDefault>
  </w:docDefaults>
  <w:style w:type="paragraph" w:default="1" w:styleId="Normal">
    <w:name w:val="Normal"/>
  </w:style>
  <w:style w:type="paragraph" w:styleId="Title">
    <w:name w:val="Title"/>
    <w:pPr>
      <w:spacing w:after="210"/>
    </w:pPr>
    <w:rPr>
      <w:b/>
      <w:color w:val="17465A"/>
      <w:sz w:val="34"/>
    </w:rPr>
  </w:style>
  <w:style w:type="paragraph" w:styleId="Heading1">
    <w:name w:val="heading 1"/>
    <w:pPr>
      <w:keepNext/>
      <w:spacing w:before="230" w:after="95"/>
    </w:pPr>
    <w:rPr>
      <w:b/>
      <w:color w:val="17465A"/>
      <w:sz w:val="27"/>
    </w:rPr>
  </w:style>
  <w:style w:type="paragraph" w:styleId="Heading2">
    <w:name w:val="heading 2"/>
    <w:pPr>
      <w:keepNext/>
      <w:spacing w:before="160" w:after="70"/>
    </w:pPr>
    <w:rPr>
      <w:b/>
      <w:color w:val="2F657C"/>
      <w:sz w:val="22"/>
    </w:rPr>
  </w:style>
  <w:style w:type="paragraph" w:styleId="Code">
    <w:name w:val="Code"/>
    <w:rPr>
      <w:rFonts w:ascii="Consolas" w:hAnsi="Consolas"/>
      <w:sz w:val="17"/>
    </w:rPr>
  </w:style>
  <w:style w:type="paragraph" w:styleId="TblHead">
    <w:name w:val="TblHead"/>
    <w:rPr>
      <w:b/>
      <w:sz w:val="18"/>
    </w:rPr>
  </w:style>
  <w:style w:type="paragraph" w:styleId="Quote">
    <w:name w:val="Quote"/>
    <w:rPr>
      <w:i/>
    </w:rPr>
  </w:style>
  <w:style w:type="paragraph" w:styleId="Subtitle">
    <w:name w:val="Subtitle"/>
    <w:rPr>
      <w:i/>
      <w:color w:val="556B77"/>
      <w:sz w:val="17"/>
    </w:rPr>
  </w:style>
</w:styles>
</file>

<file path=word/_rels/document.xml.rels><?xml version="1.0" encoding="UTF-8"?><Relationships xmlns="http://schemas.openxmlformats.org/package/2006/relationships"><Relationship Id="rId1" Type="http://schemas.openxmlformats.org/officeDocument/2006/relationships/styles" Target="styles.xml"/></Relationships>
</file>