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Aptos Display" w:hAnsi="Aptos Display"/>
          <w:b/>
          <w:color w:val="0A3950"/>
          <w:sz w:val="34"/>
        </w:rPr>
        <w:t>Event-Driven Integration Specification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spacing w:after="0"/>
      </w:pPr>
    </w:p>
    <w:p>
      <w:r>
        <w:rPr>
          <w:i/>
          <w:color w:val="596D77"/>
          <w:sz w:val="17"/>
        </w:rPr>
        <w:t>Adapted from the author's private template library; no real customer data. Replace all bracketed placeholders.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Producer: [SERVICE] Consumer: [SERVICE]</w:t>
            </w:r>
          </w:p>
        </w:tc>
        <w:tc>
          <w:tcPr>
            <w:tcW w:type="dxa" w:w="487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Topic: [TOPIC]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1. Event business semantics</w:t>
      </w:r>
    </w:p>
    <w:p>
      <w:r>
        <w:t>Event type and source of truth: [NAME]</w:t>
      </w:r>
    </w:p>
    <w:p>
      <w:r>
        <w:t>Trigger and ordering boundary: [RULES]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2. Envelope and schema</w:t>
      </w:r>
    </w:p>
    <w:p>
      <w:r>
        <w:t>eventId, eventType, version, aggregateId, occurredAt, correlationId</w:t>
      </w:r>
    </w:p>
    <w:p>
      <w:r>
        <w:t>Payload schema: [VERSIONED JSON/AVRO/PROTOBUF]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3. Kafka topology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Topic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Key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Partitions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Retention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Consumer group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ACLs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4. Transactional consistency</w:t>
      </w:r>
    </w:p>
    <w:p>
      <w:r>
        <w:t>Outbox DB transaction: [STATE + EVENT]</w:t>
      </w:r>
    </w:p>
    <w:p>
      <w:r>
        <w:t>Consumer inbox dedupe key: [SCOPE]</w:t>
      </w:r>
    </w:p>
    <w:p>
      <w:r>
        <w:t>Offset commit point: [AFTER DURABLE DB WORK]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5. Retry/recovery</w:t>
      </w:r>
    </w:p>
    <w:p>
      <w:r>
        <w:t>Transient errors: [BACKOFF]</w:t>
      </w:r>
    </w:p>
    <w:p>
      <w:r>
        <w:t>Permanent errors / DLQ: [QUARANTINE / OWNER]</w:t>
      </w:r>
    </w:p>
    <w:p>
      <w:r>
        <w:t>Unknown external financial outcome: [STATUS INQUIRY, NOT BLIND REPLAY]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6. Reliability and security</w:t>
      </w:r>
    </w:p>
    <w:p>
      <w:r>
        <w:t>Late/out-of-order events; schema compatibility; replay policy</w:t>
      </w:r>
    </w:p>
    <w:p>
      <w:r>
        <w:t>Observability: lag, outbox age, DLQ, duplicate suppression</w:t>
      </w:r>
    </w:p>
    <w:p>
      <w:pPr>
        <w:pStyle w:val="Heading1"/>
        <w:spacing w:before="200" w:after="80"/>
      </w:pPr>
      <w:r>
        <w:rPr>
          <w:rFonts w:ascii="Aptos" w:hAnsi="Aptos"/>
          <w:color w:val="0A3950"/>
          <w:sz w:val="22"/>
        </w:rPr>
        <w:t>7. Fault-injection tests</w:t>
      </w:r>
    </w:p>
    <w:p>
      <w:r>
        <w:t>Crash before DB commit; after DB commit; before offset; rebalance; provider timeout</w:t>
      </w:r>
    </w:p>
    <w:p>
      <w:r>
        <w:rPr>
          <w:i/>
          <w:color w:val="596D77"/>
          <w:sz w:val="17"/>
        </w:rPr>
        <w:t>Version 1.0. All examples and identifiers are fictional. Review before applying in production.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D77"/>
        <w:sz w:val="15"/>
      </w:rPr>
      <w:t>Architecture &amp; Analysis Hub  |  Sergei Budnik  | 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Event-Driven Integration Specification</dc:title>
  <dc:subject/>
  <dc:creator>Sergei Budnik</dc:creator>
  <cp:keywords/>
  <dc:description>Original sanitized educational Word template, CC BY 4.0.</dc:description>
  <cp:lastModifiedBy>Architecture &amp; Analysis Hub</cp:lastModifiedBy>
  <cp:revision>1</cp:revision>
  <dcterms:created xsi:type="dcterms:W3CDTF">2013-12-23T23:15:00Z</dcterms:created>
  <dcterms:modified xsi:type="dcterms:W3CDTF">2013-12-23T23:15:00Z</dcterms:modified>
  <cp:category/>
</cp:coreProperties>
</file>