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</w:pPr>
      <w:r>
        <w:rPr>
          <w:rFonts w:ascii="Aptos Display" w:hAnsi="Aptos Display"/>
          <w:b/>
          <w:color w:val="0A3950"/>
          <w:sz w:val="34"/>
        </w:rPr>
        <w:t>High-Level Solution Architecture (HLD)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Original editable teaching template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Sergei Budnik</w:t>
            </w:r>
          </w:p>
        </w:tc>
        <w:tc>
          <w:tcPr>
            <w:tcW w:type="dxa" w:w="3251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October 2026</w:t>
            </w:r>
          </w:p>
        </w:tc>
      </w:tr>
    </w:tbl>
    <w:p>
      <w:pPr>
        <w:spacing w:after="0"/>
      </w:pPr>
    </w:p>
    <w:p>
      <w:r>
        <w:rPr>
          <w:i/>
          <w:color w:val="596D77"/>
          <w:sz w:val="17"/>
        </w:rPr>
        <w:t>Adapted from the author's private template library; no real customer data. Replace all bracketed placeholders.</w:t>
      </w: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Document control</w:t>
      </w:r>
    </w:p>
    <w:p>
      <w:r>
        <w:t>System / capability: [NAME]</w:t>
      </w:r>
    </w:p>
    <w:p>
      <w:r>
        <w:t>Author: [NAME] Version: [0.1] Decision status: [DRAFT/APPROVED]</w:t>
      </w: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1. Business and architecture drivers</w:t>
      </w:r>
    </w:p>
    <w:p>
      <w:r>
        <w:t>Business goals and scope: [GOALS]</w:t>
      </w:r>
    </w:p>
    <w:p>
      <w:r>
        <w:t>Constraints and assumptions: [BOUNDARIES]</w:t>
      </w:r>
    </w:p>
    <w:p>
      <w:r>
        <w:t>Architecture decisions and alternatives: [ADRs]</w:t>
      </w: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2. Context and trust boundaries</w:t>
      </w:r>
    </w:p>
    <w:p>
      <w:r>
        <w:t>Actors and external systems: [LIST]</w:t>
      </w:r>
    </w:p>
    <w:p>
      <w:r>
        <w:t>Context diagram: [LINK TO EDITABLE PLANTUML]</w:t>
      </w:r>
    </w:p>
    <w:p>
      <w:r>
        <w:t>Security / compliance boundary: [DESCRIPTION]</w:t>
      </w: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3. Component model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Component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Responsibility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Data owned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Inbound API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Outbound dependency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[SERVICE]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[FUNCTION]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[DATA]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[INTERFACE]</w:t>
            </w:r>
          </w:p>
        </w:tc>
        <w:tc>
          <w:tcPr>
            <w:tcW w:type="dxa" w:w="1950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[SYSTEM]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4. Integration contracts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From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To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Protocol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Sync/async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Auth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Timeout/retry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c>
          <w:tcPr>
            <w:tcW w:type="dxa" w:w="1625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[SOURCE]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[TARGET]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[REST/EVENT]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[TYPE]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[AUTH]</w:t>
            </w:r>
          </w:p>
        </w:tc>
        <w:tc>
          <w:tcPr>
            <w:tcW w:type="dxa" w:w="1625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[POLICY]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5. End-to-end flows</w:t>
      </w:r>
    </w:p>
    <w:p>
      <w:r>
        <w:t>Main sequence diagram: [LINK]</w:t>
      </w:r>
    </w:p>
    <w:p>
      <w:r>
        <w:t>Timeout and degraded-flow sequence: [LINK]</w:t>
      </w:r>
    </w:p>
    <w:p>
      <w:r>
        <w:t>State lifecycle: [LINK]</w:t>
      </w: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6. Quality and operability</w:t>
      </w:r>
    </w:p>
    <w:p>
      <w:r>
        <w:t>Availability and scalability: [TARGET / MECHANISM]</w:t>
      </w:r>
    </w:p>
    <w:p>
      <w:r>
        <w:t>Security and observability: [CONTROLS]</w:t>
      </w:r>
    </w:p>
    <w:p>
      <w:r>
        <w:t>Reconciliation/recovery: [RESPONSIBILITIES]</w:t>
      </w:r>
    </w:p>
    <w:p>
      <w:pPr>
        <w:pStyle w:val="Heading1"/>
        <w:spacing w:before="200" w:after="80"/>
      </w:pPr>
      <w:r>
        <w:rPr>
          <w:rFonts w:ascii="Aptos" w:hAnsi="Aptos"/>
          <w:color w:val="0A3950"/>
          <w:sz w:val="22"/>
        </w:rPr>
        <w:t>7. Decisions and review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shd w:fill="E7F0F4"/>
          </w:tcPr>
          <w:p>
            <w:pPr>
              <w:spacing w:after="40"/>
            </w:pPr>
            <w:r>
              <w:rPr>
                <w:rFonts w:ascii="Aptos" w:hAnsi="Aptos"/>
                <w:b/>
                <w:sz w:val="16"/>
              </w:rPr>
              <w:t>ADR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Alternative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Rationale</w:t>
            </w:r>
          </w:p>
        </w:tc>
        <w:tc>
          <w:tcPr>
            <w:tcW w:type="dxa" w:w="2438"/>
            <w:vAlign w:val="center"/>
          </w:tcPr>
          <w:p>
            <w:pPr>
              <w:spacing w:after="40"/>
            </w:pPr>
            <w:r>
              <w:rPr>
                <w:rFonts w:ascii="Aptos" w:hAnsi="Aptos"/>
                <w:sz w:val="16"/>
              </w:rPr>
              <w:t>Owner</w:t>
            </w:r>
          </w:p>
        </w:tc>
      </w:tr>
    </w:tbl>
    <w:p>
      <w:pPr>
        <w:spacing w:after="0"/>
      </w:pPr>
    </w:p>
    <w:p>
      <w:r>
        <w:t>Risks, unresolved questions, sign-off: [ITEMS]</w:t>
      </w:r>
    </w:p>
    <w:p>
      <w:r>
        <w:rPr>
          <w:i/>
          <w:color w:val="596D77"/>
          <w:sz w:val="17"/>
        </w:rPr>
        <w:t>Version 1.0. All examples and identifiers are fictional. Review before applying in production.</w:t>
      </w:r>
    </w:p>
    <w:sectPr w:rsidR="00FC693F" w:rsidRPr="0006063C" w:rsidSect="00034616">
      <w:footerReference w:type="default" r:id="rId9"/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D77"/>
        <w:sz w:val="15"/>
      </w:rPr>
      <w:t>Architecture &amp; Analysis Hub  |  Sergei Budnik  |  CC BY 4.0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High-Level Solution Architecture (HLD)</dc:title>
  <dc:subject/>
  <dc:creator>Sergei Budnik</dc:creator>
  <cp:keywords/>
  <dc:description>Original sanitized educational Word template, CC BY 4.0.</dc:description>
  <cp:lastModifiedBy>Architecture &amp; Analysis Hub</cp:lastModifiedBy>
  <cp:revision>1</cp:revision>
  <dcterms:created xsi:type="dcterms:W3CDTF">2013-12-23T23:15:00Z</dcterms:created>
  <dcterms:modified xsi:type="dcterms:W3CDTF">2013-12-23T23:15:00Z</dcterms:modified>
  <cp:category/>
</cp:coreProperties>
</file>