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ubDocumentTitle"/>
        <w:bidi w:val="0"/>
        <w:spacing w:before="0" w:after="180"/>
        <w:jc w:val="start"/>
        <w:rPr>
          <w:rFonts w:ascii="Arial" w:hAnsi="Arial"/>
          <w:b w:val="false"/>
          <w:color w:val="auto"/>
          <w:sz w:val="34"/>
        </w:rPr>
      </w:pPr>
      <w:r>
        <w:rPr>
          <w:rFonts w:ascii="Aptos Display" w:hAnsi="Aptos Display"/>
          <w:b/>
          <w:color w:val="0A3950"/>
          <w:sz w:val="34"/>
        </w:rPr>
        <w:t>High-Level Solution Architecture (HLD)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Original editable teaching template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Sergei Budnik</w:t>
            </w:r>
          </w:p>
        </w:tc>
        <w:tc>
          <w:tcPr>
            <w:tcW w:type="dxa" w:w="3251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October 2026</w:t>
            </w:r>
          </w:p>
        </w:tc>
      </w:tr>
    </w:tbl>
    <w:p>
      <w:pPr>
        <w:pStyle w:val="Normal"/>
        <w:bidi w:val="0"/>
        <w:spacing w:before="0" w:after="180"/>
        <w:jc w:val="start"/>
        <w:rPr>
          <w:rFonts w:ascii="Arial" w:hAnsi="Arial"/>
          <w:b w:val="false"/>
          <w:i w:val="false"/>
          <w:i w:val="false"/>
          <w:color w:val="auto"/>
          <w:sz w:val="18"/>
        </w:rPr>
      </w:pPr>
      <w:r>
        <w:rPr>
          <w:rFonts w:ascii="Aptos" w:hAnsi="Aptos"/>
          <w:b w:val="false"/>
          <w:i/>
          <w:color w:val="auto"/>
          <w:sz w:val="18"/>
        </w:rPr>
        <w:t>Adapted from the author's private template library; no real customer data. Replace all bracketed placeholders.</w:t>
      </w:r>
    </w:p>
    <w:p>
      <w:pPr>
        <w:pStyle w:val="HubSectionHeading"/>
        <w:bidi w:val="0"/>
        <w:spacing w:before="200" w:after="100"/>
        <w:jc w:val="start"/>
        <w:rPr>
          <w:rFonts w:ascii="Arial" w:hAnsi="Arial"/>
          <w:b w:val="false"/>
          <w:i w:val="false"/>
          <w:i w:val="false"/>
          <w:color w:val="auto"/>
          <w:sz w:val="25"/>
        </w:rPr>
      </w:pPr>
      <w:r>
        <w:rPr>
          <w:rFonts w:ascii="Aptos" w:hAnsi="Aptos"/>
          <w:b/>
          <w:i w:val="false"/>
          <w:color w:val="0A3950"/>
          <w:sz w:val="22"/>
        </w:rPr>
        <w:t>Document control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System / capability: [NAME]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Author: [NAME] Version: [0.1] Decision status: [DRAFT/APPROVED]</w:t>
      </w:r>
    </w:p>
    <w:p>
      <w:pPr>
        <w:pStyle w:val="HubSectionHeading"/>
        <w:bidi w:val="0"/>
        <w:spacing w:before="200" w:after="100"/>
        <w:jc w:val="start"/>
        <w:rPr>
          <w:rFonts w:ascii="Arial" w:hAnsi="Arial"/>
          <w:b w:val="false"/>
          <w:i w:val="false"/>
          <w:i w:val="false"/>
          <w:color w:val="auto"/>
          <w:sz w:val="25"/>
        </w:rPr>
      </w:pPr>
      <w:r>
        <w:rPr>
          <w:rFonts w:ascii="Aptos" w:hAnsi="Aptos"/>
          <w:b/>
          <w:i w:val="false"/>
          <w:color w:val="0A3950"/>
          <w:sz w:val="22"/>
        </w:rPr>
        <w:t>1. Business and architecture drivers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Business goals and scope: [GOALS]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Constraints and assumptions: [BOUNDARIES]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Architecture decisions and alternatives: [ADRs]</w:t>
      </w:r>
    </w:p>
    <w:p>
      <w:pPr>
        <w:pStyle w:val="HubSectionHeading"/>
        <w:bidi w:val="0"/>
        <w:spacing w:before="200" w:after="100"/>
        <w:jc w:val="start"/>
        <w:rPr>
          <w:rFonts w:ascii="Arial" w:hAnsi="Arial"/>
          <w:b w:val="false"/>
          <w:i w:val="false"/>
          <w:i w:val="false"/>
          <w:color w:val="auto"/>
          <w:sz w:val="25"/>
        </w:rPr>
      </w:pPr>
      <w:r>
        <w:rPr>
          <w:rFonts w:ascii="Aptos" w:hAnsi="Aptos"/>
          <w:b/>
          <w:i w:val="false"/>
          <w:color w:val="0A3950"/>
          <w:sz w:val="22"/>
        </w:rPr>
        <w:t>2. Context and trust boundaries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Actors and external systems: [LIST]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Context diagram: [LINK TO EDITABLE PLANTUML]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Security / compliance boundary: [DESCRIPTION]</w:t>
      </w:r>
    </w:p>
    <w:p>
      <w:pPr>
        <w:pStyle w:val="HubSectionHeading"/>
        <w:bidi w:val="0"/>
        <w:spacing w:before="200" w:after="100"/>
        <w:jc w:val="start"/>
        <w:rPr>
          <w:rFonts w:ascii="Arial" w:hAnsi="Arial"/>
          <w:b w:val="false"/>
          <w:i w:val="false"/>
          <w:i w:val="false"/>
          <w:color w:val="auto"/>
          <w:sz w:val="25"/>
        </w:rPr>
      </w:pPr>
      <w:r>
        <w:rPr>
          <w:rFonts w:ascii="Aptos" w:hAnsi="Aptos"/>
          <w:b/>
          <w:i w:val="false"/>
          <w:color w:val="0A3950"/>
          <w:sz w:val="22"/>
        </w:rPr>
        <w:t>3. Component model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Component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Responsibility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Data owned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Inbound API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Outbound dependency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c>
          <w:tcPr>
            <w:tcW w:type="dxa" w:w="1950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[SERVICE]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[FUNCTION]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[DATA]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[INTERFACE]</w:t>
            </w:r>
          </w:p>
        </w:tc>
        <w:tc>
          <w:tcPr>
            <w:tcW w:type="dxa" w:w="1950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[SYSTEM]</w:t>
            </w:r>
          </w:p>
        </w:tc>
      </w:tr>
    </w:tbl>
    <w:p>
      <w:pPr>
        <w:pStyle w:val="HubSectionHeading"/>
        <w:bidi w:val="0"/>
        <w:spacing w:before="200" w:after="100"/>
        <w:jc w:val="start"/>
        <w:rPr>
          <w:rFonts w:ascii="Arial" w:hAnsi="Arial"/>
          <w:b w:val="false"/>
          <w:i w:val="false"/>
          <w:i w:val="false"/>
          <w:color w:val="auto"/>
          <w:sz w:val="25"/>
        </w:rPr>
      </w:pPr>
      <w:r>
        <w:rPr>
          <w:rFonts w:ascii="Aptos" w:hAnsi="Aptos"/>
          <w:b/>
          <w:i w:val="false"/>
          <w:color w:val="0A3950"/>
          <w:sz w:val="22"/>
        </w:rPr>
        <w:t>4. Integration contracts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From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To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Protocol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Sync/async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Auth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Timeout/retry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c>
          <w:tcPr>
            <w:tcW w:type="dxa" w:w="1625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[SOURCE]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[TARGET]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[REST/EVENT]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[TYPE]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[AUTH]</w:t>
            </w:r>
          </w:p>
        </w:tc>
        <w:tc>
          <w:tcPr>
            <w:tcW w:type="dxa" w:w="1625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[POLICY]</w:t>
            </w:r>
          </w:p>
        </w:tc>
      </w:tr>
    </w:tbl>
    <w:p>
      <w:pPr>
        <w:pStyle w:val="HubSectionHeading"/>
        <w:bidi w:val="0"/>
        <w:spacing w:before="200" w:after="100"/>
        <w:jc w:val="start"/>
        <w:rPr>
          <w:rFonts w:ascii="Arial" w:hAnsi="Arial"/>
          <w:b w:val="false"/>
          <w:i w:val="false"/>
          <w:i w:val="false"/>
          <w:color w:val="auto"/>
          <w:sz w:val="25"/>
        </w:rPr>
      </w:pPr>
      <w:r>
        <w:rPr>
          <w:rFonts w:ascii="Aptos" w:hAnsi="Aptos"/>
          <w:b/>
          <w:i w:val="false"/>
          <w:color w:val="0A3950"/>
          <w:sz w:val="22"/>
        </w:rPr>
        <w:t>5. End-to-end flows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Main sequence diagram: [LINK]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Timeout and degraded-flow sequence: [LINK]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State lifecycle: [LINK]</w:t>
      </w:r>
    </w:p>
    <w:p>
      <w:pPr>
        <w:pStyle w:val="HubSectionHeading"/>
        <w:bidi w:val="0"/>
        <w:spacing w:before="200" w:after="100"/>
        <w:jc w:val="start"/>
        <w:rPr>
          <w:rFonts w:ascii="Arial" w:hAnsi="Arial"/>
          <w:b w:val="false"/>
          <w:i w:val="false"/>
          <w:i w:val="false"/>
          <w:color w:val="auto"/>
          <w:sz w:val="25"/>
        </w:rPr>
      </w:pPr>
      <w:r>
        <w:rPr>
          <w:rFonts w:ascii="Aptos" w:hAnsi="Aptos"/>
          <w:b/>
          <w:i w:val="false"/>
          <w:color w:val="0A3950"/>
          <w:sz w:val="22"/>
        </w:rPr>
        <w:t>6. Quality and operability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Availability and scalability: [TARGET / MECHANISM]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Security and observability: [CONTROLS]</w:t>
      </w:r>
    </w:p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Reconciliation/recovery: [RESPONSIBILITIES]</w:t>
      </w:r>
    </w:p>
    <w:p>
      <w:pPr>
        <w:pStyle w:val="HubSectionHeading"/>
        <w:bidi w:val="0"/>
        <w:spacing w:before="200" w:after="100"/>
        <w:jc w:val="start"/>
        <w:rPr>
          <w:rFonts w:ascii="Arial" w:hAnsi="Arial"/>
          <w:b w:val="false"/>
          <w:i w:val="false"/>
          <w:i w:val="false"/>
          <w:color w:val="auto"/>
          <w:sz w:val="25"/>
        </w:rPr>
      </w:pPr>
      <w:r>
        <w:rPr>
          <w:rFonts w:ascii="Aptos" w:hAnsi="Aptos"/>
          <w:b/>
          <w:i w:val="false"/>
          <w:color w:val="0A3950"/>
          <w:sz w:val="22"/>
        </w:rPr>
        <w:t>7. Decisions and review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  <w:shd w:fill="E7F0F4"/>
          </w:tcPr>
          <w:p>
            <w:pPr>
              <w:spacing w:after="40"/>
            </w:pPr>
            <w:r>
              <w:rPr>
                <w:rFonts w:ascii="Aptos" w:hAnsi="Aptos"/>
                <w:b/>
                <w:sz w:val="16"/>
              </w:rPr>
              <w:t>ADR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Alternative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Rationale</w:t>
            </w:r>
          </w:p>
        </w:tc>
        <w:tc>
          <w:tcPr>
            <w:tcW w:type="dxa" w:w="2438"/>
            <w:vAlign w:val="center"/>
          </w:tcPr>
          <w:p>
            <w:pPr>
              <w:spacing w:after="40"/>
            </w:pPr>
            <w:r>
              <w:rPr>
                <w:rFonts w:ascii="Aptos" w:hAnsi="Aptos"/>
                <w:sz w:val="16"/>
              </w:rPr>
              <w:t>Owner</w:t>
            </w:r>
          </w:p>
        </w:tc>
      </w:tr>
    </w:tbl>
    <w:p>
      <w:pPr>
        <w:pStyle w:val="Normal"/>
        <w:bidi w:val="0"/>
        <w:spacing w:before="0" w:after="100"/>
        <w:ind w:hanging="0" w:start="200"/>
        <w:jc w:val="start"/>
        <w:rPr>
          <w:rFonts w:ascii="Arial" w:hAnsi="Arial"/>
          <w:b w:val="false"/>
          <w:i w:val="false"/>
          <w:i w:val="false"/>
          <w:color w:val="auto"/>
          <w:sz w:val="20"/>
        </w:rPr>
      </w:pPr>
      <w:r>
        <w:rPr>
          <w:rFonts w:ascii="Aptos" w:hAnsi="Aptos"/>
          <w:b w:val="false"/>
          <w:i w:val="false"/>
          <w:color w:val="auto"/>
          <w:sz w:val="20"/>
        </w:rPr>
        <w:t>Risks, unresolved questions, sign-off: [ITEMS]</w:t>
      </w:r>
    </w:p>
    <w:p>
      <w:pPr>
        <w:pStyle w:val="Normal"/>
        <w:bidi w:val="0"/>
        <w:spacing w:before="220" w:after="160"/>
        <w:jc w:val="start"/>
        <w:rPr>
          <w:rFonts w:ascii="Arial" w:hAnsi="Arial"/>
          <w:b w:val="false"/>
          <w:i w:val="false"/>
          <w:i w:val="false"/>
          <w:color w:val="auto"/>
          <w:sz w:val="17"/>
        </w:rPr>
      </w:pPr>
      <w:r>
        <w:rPr>
          <w:rFonts w:ascii="Aptos" w:hAnsi="Aptos"/>
          <w:b w:val="false"/>
          <w:i/>
          <w:color w:val="auto"/>
          <w:sz w:val="17"/>
        </w:rPr>
        <w:t>Version 1.0. All examples and identifiers are fictional. Review before applying in production.</w:t>
      </w:r>
    </w:p>
    <w:sectPr>
      <w:type w:val="nextPage"/>
      <w:pgSz w:w="11906" w:h="16838"/>
      <w:pgMar w:left="1077" w:right="1077" w:gutter="0" w:header="0" w:top="964" w:footer="0" w:bottom="96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after="100"/>
    </w:pPr>
    <w:rPr>
      <w:rFonts w:ascii="Aptos" w:hAnsi="Aptos" w:eastAsia="DejaVu Sans" w:cs="DejaVu Sans"/>
      <w:color w:val="auto"/>
      <w:kern w:val="2"/>
      <w:sz w:val="19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customStyle="1" w:styleId="HubDocumentTitle">
    <w:name w:val="Hub Document Title"/>
  </w:style>
  <w:style w:type="paragraph" w:customStyle="1" w:styleId="HubSectionHeading">
    <w:name w:val="Hub Section Heading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High-Level Solution Architecture (HLD)</dc:title>
  <cp:lastModifiedBy>Architecture &amp; Analysis Hub</cp:lastModifiedBy>
  <cp:revision>1</cp:revision>
  <dcterms:modified xsi:type="dcterms:W3CDTF">2026-10-19T08:27:30Z</dcterms:modified>
  <dc:creator>Sergei Budnik</dc:creator>
  <dc:description>Sanitized educational Word template. CC BY 4.0.</dc:description>
</cp:core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High-Level Solution Architecture (HLD)</dc:title>
  <cp:lastModifiedBy>Architecture &amp; Analysis Hub</cp:lastModifiedBy>
  <cp:revision>1</cp:revision>
  <dcterms:modified xsi:type="dcterms:W3CDTF">2026-10-19T08:27:30Z</dcterms:modified>
  <dc:creator>Sergei Budnik</dc:creator>
  <dc:description>Sanitized educational Word template. CC BY 4.0.</dc:description>
</cp:coreProperties>
</file>