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180" w:after="160"/>
        <w:jc w:val="start"/>
        <w:rPr>
          <w:rFonts w:ascii="Arial" w:hAnsi="Arial"/>
          <w:b w:val="false"/>
          <w:sz w:val="34"/>
        </w:rPr>
      </w:pPr>
      <w:r>
        <w:rPr>
          <w:rFonts w:ascii="Arial" w:hAnsi="Arial"/>
          <w:b/>
          <w:sz w:val="34"/>
        </w:rPr>
        <w:t>REST API Design: Ten Recurring Design Problems</w:t>
      </w:r>
    </w:p>
    <w:p>
      <w:pPr>
        <w:pStyle w:val="Normal"/>
        <w:bidi w:val="0"/>
        <w:spacing w:before="0" w:after="9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Source basis: Sergei Budnik, API_PARAMETERIZATION.docx, STORAGE v1.0.0, 4 September 2025. The private source contains 10 numbered problems with alternative solutions, pros, cons and final implementation recommendations. This expanded public edition preserves that same problem order and trade-off framing. New security, payment-recovery and concrete OpenAPI illustrations are explicitly identified as additions. No historical production interface is claimed.</w:t>
      </w:r>
    </w:p>
    <w:p>
      <w:pPr>
        <w:pStyle w:val="Normal"/>
        <w:bidi w:val="0"/>
        <w:spacing w:before="170" w:after="115"/>
        <w:jc w:val="start"/>
        <w:rPr>
          <w:rFonts w:ascii="Arial" w:hAnsi="Arial"/>
          <w:b w:val="false"/>
          <w:sz w:val="26"/>
        </w:rPr>
      </w:pPr>
      <w:r>
        <w:rPr>
          <w:rFonts w:ascii="Arial" w:hAnsi="Arial"/>
          <w:b/>
          <w:sz w:val="26"/>
        </w:rPr>
        <w:t>1. Chaotic structure and endpoint naming</w:t>
      </w:r>
    </w:p>
    <w:p>
      <w:pPr>
        <w:pStyle w:val="Normal"/>
        <w:bidi w:val="0"/>
        <w:spacing w:before="0" w:after="9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Source problem: Paths such as /getUsers, /addNewPost and /user/12-3/updateEmail mix verbs, singular/plural naming and business actions, making an API harder to predict.</w:t>
      </w:r>
    </w:p>
    <w:p>
      <w:pPr>
        <w:pStyle w:val="Normal"/>
        <w:bidi w:val="0"/>
        <w:spacing w:before="0" w:after="70"/>
        <w:jc w:val="start"/>
        <w:rPr>
          <w:rFonts w:ascii="Arial" w:hAnsi="Arial"/>
          <w:b w:val="false"/>
          <w:sz w:val="17"/>
        </w:rPr>
      </w:pPr>
      <w:r>
        <w:rPr>
          <w:rFonts w:ascii="Arial" w:hAnsi="Arial"/>
          <w:b w:val="false"/>
          <w:sz w:val="17"/>
        </w:rPr>
        <w:t>Source alternative    |    What it solves    |    Trade-off</w:t>
      </w:r>
    </w:p>
    <w:p>
      <w:pPr>
        <w:pStyle w:val="Normal"/>
        <w:bidi w:val="0"/>
        <w:spacing w:before="0" w:after="70"/>
        <w:jc w:val="start"/>
        <w:rPr>
          <w:rFonts w:ascii="Arial" w:hAnsi="Arial"/>
          <w:b w:val="false"/>
          <w:sz w:val="17"/>
        </w:rPr>
      </w:pPr>
      <w:r>
        <w:rPr>
          <w:rFonts w:ascii="Arial" w:hAnsi="Arial"/>
          <w:b w:val="false"/>
          <w:sz w:val="17"/>
        </w:rPr>
        <w:t>A — Resource-oriented    |    GET /users/{id}, POST /users; nouns and standard HTTP methods    |    Complex commands may not fit ordinary CRUD</w:t>
      </w:r>
    </w:p>
    <w:p>
      <w:pPr>
        <w:pStyle w:val="Normal"/>
        <w:bidi w:val="0"/>
        <w:spacing w:before="0" w:after="70"/>
        <w:jc w:val="start"/>
        <w:rPr>
          <w:rFonts w:ascii="Arial" w:hAnsi="Arial"/>
          <w:b w:val="false"/>
          <w:sz w:val="17"/>
        </w:rPr>
      </w:pPr>
      <w:r>
        <w:rPr>
          <w:rFonts w:ascii="Arial" w:hAnsi="Arial"/>
          <w:b w:val="false"/>
          <w:sz w:val="17"/>
        </w:rPr>
        <w:t>B — Verb/RPC-oriented    |    POST /users/{id}/activate exposes a named action    |    Uncontrolled growth of unique methods</w:t>
      </w:r>
    </w:p>
    <w:p>
      <w:pPr>
        <w:pStyle w:val="Normal"/>
        <w:bidi w:val="0"/>
        <w:spacing w:before="0" w:after="70"/>
        <w:jc w:val="start"/>
        <w:rPr>
          <w:rFonts w:ascii="Arial" w:hAnsi="Arial"/>
          <w:b w:val="false"/>
          <w:sz w:val="17"/>
        </w:rPr>
      </w:pPr>
      <w:r>
        <w:rPr>
          <w:rFonts w:ascii="Arial" w:hAnsi="Arial"/>
          <w:b w:val="false"/>
          <w:sz w:val="17"/>
        </w:rPr>
        <w:t>Hybrid    |    Default to resources, allow carefully agreed command routes    |    Requires consistent team guidelines</w:t>
      </w:r>
    </w:p>
    <w:p>
      <w:pPr>
        <w:pStyle w:val="Normal"/>
        <w:bidi w:val="0"/>
        <w:spacing w:before="0" w:after="9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Recommendation derived from source: Prefer stable resource names, with narrowly scoped command endpoints where a real domain operation is not naturally CRUD.</w:t>
      </w:r>
    </w:p>
    <w:p>
      <w:pPr>
        <w:pStyle w:val="Normal"/>
        <w:bidi w:val="0"/>
        <w:spacing w:before="170" w:after="115"/>
        <w:jc w:val="start"/>
        <w:rPr>
          <w:rFonts w:ascii="Arial" w:hAnsi="Arial"/>
          <w:b w:val="false"/>
          <w:sz w:val="26"/>
        </w:rPr>
      </w:pPr>
      <w:r>
        <w:rPr>
          <w:rFonts w:ascii="Arial" w:hAnsi="Arial"/>
          <w:b/>
          <w:sz w:val="26"/>
        </w:rPr>
        <w:t>2. Too much or too little response data</w:t>
      </w:r>
    </w:p>
    <w:p>
      <w:pPr>
        <w:pStyle w:val="Normal"/>
        <w:bidi w:val="0"/>
        <w:spacing w:before="0" w:after="9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Source problem: Returning every field over-fetches; forcing one request per related resource causes N+1 HTTP calls.</w:t>
      </w:r>
    </w:p>
    <w:p>
      <w:pPr>
        <w:pStyle w:val="Normal"/>
        <w:bidi w:val="0"/>
        <w:spacing w:before="0" w:after="70"/>
        <w:jc w:val="start"/>
        <w:rPr>
          <w:rFonts w:ascii="Arial" w:hAnsi="Arial"/>
          <w:b w:val="false"/>
          <w:sz w:val="17"/>
        </w:rPr>
      </w:pPr>
      <w:r>
        <w:rPr>
          <w:rFonts w:ascii="Arial" w:hAnsi="Arial"/>
          <w:b w:val="false"/>
          <w:sz w:val="17"/>
        </w:rPr>
        <w:t>Source option    |    Example    |    Benefit    |    Cost</w:t>
      </w:r>
    </w:p>
    <w:p>
      <w:pPr>
        <w:pStyle w:val="Normal"/>
        <w:bidi w:val="0"/>
        <w:spacing w:before="0" w:after="70"/>
        <w:jc w:val="start"/>
        <w:rPr>
          <w:rFonts w:ascii="Arial" w:hAnsi="Arial"/>
          <w:b w:val="false"/>
          <w:sz w:val="17"/>
        </w:rPr>
      </w:pPr>
      <w:r>
        <w:rPr>
          <w:rFonts w:ascii="Arial" w:hAnsi="Arial"/>
          <w:b w:val="false"/>
          <w:sz w:val="17"/>
        </w:rPr>
        <w:t>Sparse field selection    |    GET /users?fields=id,name    |    Smaller payload    |    Complex projection rules and query risk</w:t>
      </w:r>
    </w:p>
    <w:p>
      <w:pPr>
        <w:pStyle w:val="Normal"/>
        <w:bidi w:val="0"/>
        <w:spacing w:before="0" w:after="70"/>
        <w:jc w:val="start"/>
        <w:rPr>
          <w:rFonts w:ascii="Arial" w:hAnsi="Arial"/>
          <w:b w:val="false"/>
          <w:sz w:val="17"/>
        </w:rPr>
      </w:pPr>
      <w:r>
        <w:rPr>
          <w:rFonts w:ascii="Arial" w:hAnsi="Arial"/>
          <w:b w:val="false"/>
          <w:sz w:val="17"/>
        </w:rPr>
        <w:t>Embedding related resources    |    GET /posts?embed=author,comments    |    Fewer requests    |    Larger responses and expensive joins</w:t>
      </w:r>
    </w:p>
    <w:p>
      <w:pPr>
        <w:pStyle w:val="Normal"/>
        <w:bidi w:val="0"/>
        <w:spacing w:before="0" w:after="70"/>
        <w:jc w:val="start"/>
        <w:rPr>
          <w:rFonts w:ascii="Arial" w:hAnsi="Arial"/>
          <w:b w:val="false"/>
          <w:sz w:val="17"/>
        </w:rPr>
      </w:pPr>
      <w:r>
        <w:rPr>
          <w:rFonts w:ascii="Arial" w:hAnsi="Arial"/>
          <w:b w:val="false"/>
          <w:sz w:val="17"/>
        </w:rPr>
        <w:t>Predefined views    |    GET /users?view=summary    |    Server-optimized representation    |    Less client flexibility</w:t>
      </w:r>
    </w:p>
    <w:p>
      <w:pPr>
        <w:pStyle w:val="Normal"/>
        <w:bidi w:val="0"/>
        <w:spacing w:before="0" w:after="9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New implementation controls: Enforce an allow-list of selectable fields, response size budget, maximum embedding depth and authorization on embedded data. Field selection must not bypass row or field-level access checks.</w:t>
      </w:r>
    </w:p>
    <w:p>
      <w:pPr>
        <w:pStyle w:val="Normal"/>
        <w:bidi w:val="0"/>
        <w:spacing w:before="170" w:after="115"/>
        <w:jc w:val="start"/>
        <w:rPr>
          <w:rFonts w:ascii="Arial" w:hAnsi="Arial"/>
          <w:b w:val="false"/>
          <w:sz w:val="26"/>
        </w:rPr>
      </w:pPr>
      <w:r>
        <w:rPr>
          <w:rFonts w:ascii="Arial" w:hAnsi="Arial"/>
          <w:b/>
          <w:sz w:val="26"/>
        </w:rPr>
        <w:t>3. Large collections and pagination</w:t>
      </w:r>
    </w:p>
    <w:p>
      <w:pPr>
        <w:pStyle w:val="Normal"/>
        <w:bidi w:val="0"/>
        <w:spacing w:before="0" w:after="9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Source options: limit/offset for simplicity/random access versus keyset (cursor) pagination for large and changing collections.</w:t>
      </w:r>
    </w:p>
    <w:p>
      <w:pPr>
        <w:pStyle w:val="Normal"/>
        <w:bidi w:val="0"/>
        <w:spacing w:before="0" w:after="70"/>
        <w:jc w:val="start"/>
        <w:rPr>
          <w:rFonts w:ascii="Arial" w:hAnsi="Arial"/>
          <w:b w:val="false"/>
          <w:sz w:val="17"/>
        </w:rPr>
      </w:pPr>
      <w:r>
        <w:rPr>
          <w:rFonts w:ascii="Arial" w:hAnsi="Arial"/>
          <w:b w:val="false"/>
          <w:sz w:val="17"/>
        </w:rPr>
        <w:t>Mechanism    |    Strength    |    Failure mode / limitation</w:t>
      </w:r>
    </w:p>
    <w:p>
      <w:pPr>
        <w:pStyle w:val="Normal"/>
        <w:bidi w:val="0"/>
        <w:spacing w:before="0" w:after="70"/>
        <w:jc w:val="start"/>
        <w:rPr>
          <w:rFonts w:ascii="Arial" w:hAnsi="Arial"/>
          <w:b w:val="false"/>
          <w:sz w:val="17"/>
        </w:rPr>
      </w:pPr>
      <w:r>
        <w:rPr>
          <w:rFonts w:ascii="Arial" w:hAnsi="Arial"/>
          <w:b w:val="false"/>
          <w:sz w:val="17"/>
        </w:rPr>
        <w:t>?limit=50&amp;offset=5000    |    Easy page navigation    |    Costly large offsets and list instability under inserts</w:t>
      </w:r>
    </w:p>
    <w:p>
      <w:pPr>
        <w:pStyle w:val="Normal"/>
        <w:bidi w:val="0"/>
        <w:spacing w:before="0" w:after="70"/>
        <w:jc w:val="start"/>
        <w:rPr>
          <w:rFonts w:ascii="Arial" w:hAnsi="Arial"/>
          <w:b w:val="false"/>
          <w:sz w:val="17"/>
        </w:rPr>
      </w:pPr>
      <w:r>
        <w:rPr>
          <w:rFonts w:ascii="Arial" w:hAnsi="Arial"/>
          <w:b w:val="false"/>
          <w:sz w:val="17"/>
        </w:rPr>
        <w:t>?limit=50&amp;after_id=54321    |    Scalable and stable for a supported sort    |    Requires stable indexed ordering; opaque cursor may be preferable</w:t>
      </w:r>
    </w:p>
    <w:p>
      <w:pPr>
        <w:pStyle w:val="Normal"/>
        <w:bidi w:val="0"/>
        <w:spacing w:before="0" w:after="9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New implementation controls: Maximum page size, deterministic tie-breaker sorting (created_at + id), cursor validation, tenant-bound queries, and documented behavior under deletions.</w:t>
      </w:r>
    </w:p>
    <w:p>
      <w:pPr>
        <w:pStyle w:val="Normal"/>
        <w:bidi w:val="0"/>
        <w:spacing w:before="170" w:after="115"/>
        <w:jc w:val="start"/>
        <w:rPr>
          <w:rFonts w:ascii="Arial" w:hAnsi="Arial"/>
          <w:b w:val="false"/>
          <w:sz w:val="26"/>
        </w:rPr>
      </w:pPr>
      <w:r>
        <w:rPr>
          <w:rFonts w:ascii="Arial" w:hAnsi="Arial"/>
          <w:b/>
          <w:sz w:val="26"/>
        </w:rPr>
        <w:t>4. Evolving APIs without breaking consumers</w:t>
      </w:r>
    </w:p>
    <w:p>
      <w:pPr>
        <w:pStyle w:val="Normal"/>
        <w:bidi w:val="0"/>
        <w:spacing w:before="0" w:after="9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Source alternatives: URL version (/v1/users), header/negotiated version, and backward-compatible evolution.</w:t>
      </w:r>
    </w:p>
    <w:p>
      <w:pPr>
        <w:pStyle w:val="Normal"/>
        <w:bidi w:val="0"/>
        <w:spacing w:before="0" w:after="70"/>
        <w:jc w:val="start"/>
        <w:rPr>
          <w:rFonts w:ascii="Arial" w:hAnsi="Arial"/>
          <w:b w:val="false"/>
          <w:sz w:val="17"/>
        </w:rPr>
      </w:pPr>
      <w:r>
        <w:rPr>
          <w:rFonts w:ascii="Arial" w:hAnsi="Arial"/>
          <w:b w:val="false"/>
          <w:sz w:val="17"/>
        </w:rPr>
        <w:t>Approach    |    Advantage    |    Cost</w:t>
      </w:r>
    </w:p>
    <w:p>
      <w:pPr>
        <w:pStyle w:val="Normal"/>
        <w:bidi w:val="0"/>
        <w:spacing w:before="0" w:after="70"/>
        <w:jc w:val="start"/>
        <w:rPr>
          <w:rFonts w:ascii="Arial" w:hAnsi="Arial"/>
          <w:b w:val="false"/>
          <w:sz w:val="17"/>
        </w:rPr>
      </w:pPr>
      <w:r>
        <w:rPr>
          <w:rFonts w:ascii="Arial" w:hAnsi="Arial"/>
          <w:b w:val="false"/>
          <w:sz w:val="17"/>
        </w:rPr>
        <w:t>URL path version    |    Visible and simple to route    |    Coexisting versions and migration overhead</w:t>
      </w:r>
    </w:p>
    <w:p>
      <w:pPr>
        <w:pStyle w:val="Normal"/>
        <w:bidi w:val="0"/>
        <w:spacing w:before="0" w:after="70"/>
        <w:jc w:val="start"/>
        <w:rPr>
          <w:rFonts w:ascii="Arial" w:hAnsi="Arial"/>
          <w:b w:val="false"/>
          <w:sz w:val="17"/>
        </w:rPr>
      </w:pPr>
      <w:r>
        <w:rPr>
          <w:rFonts w:ascii="Arial" w:hAnsi="Arial"/>
          <w:b w:val="false"/>
          <w:sz w:val="17"/>
        </w:rPr>
        <w:t>Header/media-type version    |    Keeps resource URI stable    |    Less obvious to troubleshoot</w:t>
      </w:r>
    </w:p>
    <w:p>
      <w:pPr>
        <w:pStyle w:val="Normal"/>
        <w:bidi w:val="0"/>
        <w:spacing w:before="0" w:after="70"/>
        <w:jc w:val="start"/>
        <w:rPr>
          <w:rFonts w:ascii="Arial" w:hAnsi="Arial"/>
          <w:b w:val="false"/>
          <w:sz w:val="17"/>
        </w:rPr>
      </w:pPr>
      <w:r>
        <w:rPr>
          <w:rFonts w:ascii="Arial" w:hAnsi="Arial"/>
          <w:b w:val="false"/>
          <w:sz w:val="17"/>
        </w:rPr>
        <w:t>Backward-compatible fields    |    Reduces unnecessary version churn    |    Requires strict compatibility discipline</w:t>
      </w:r>
    </w:p>
    <w:p>
      <w:pPr>
        <w:pStyle w:val="Normal"/>
        <w:bidi w:val="0"/>
        <w:spacing w:before="0" w:after="9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New reviewer checklist: Define what counts as breaking (required request field, removed enum, changed monetary semantics, auth change); publish deprecation timing; test against representative client contracts.</w:t>
      </w:r>
    </w:p>
    <w:p>
      <w:pPr>
        <w:pStyle w:val="Normal"/>
        <w:bidi w:val="0"/>
        <w:spacing w:before="170" w:after="115"/>
        <w:jc w:val="start"/>
        <w:rPr>
          <w:rFonts w:ascii="Arial" w:hAnsi="Arial"/>
          <w:b w:val="false"/>
          <w:sz w:val="26"/>
        </w:rPr>
      </w:pPr>
      <w:r>
        <w:rPr>
          <w:rFonts w:ascii="Arial" w:hAnsi="Arial"/>
          <w:b/>
          <w:sz w:val="26"/>
        </w:rPr>
        <w:t>5. Error handling</w:t>
      </w:r>
    </w:p>
    <w:p>
      <w:pPr>
        <w:pStyle w:val="Normal"/>
        <w:bidi w:val="0"/>
        <w:spacing w:before="0" w:after="9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Source solution: A standardized JSON error object, rather than inconsistent error strings or transport-only statuses.</w:t>
      </w:r>
    </w:p>
    <w:p>
      <w:pPr>
        <w:pStyle w:val="Normal"/>
        <w:bidi w:val="0"/>
        <w:spacing w:before="0" w:after="9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A newly authored, provider-neutral example based on the source pattern:</w:t>
      </w:r>
    </w:p>
    <w:p>
      <w:pPr>
        <w:pStyle w:val="Normal"/>
        <w:bidi w:val="0"/>
        <w:spacing w:before="0" w:after="40"/>
        <w:ind w:hanging="0" w:start="180"/>
        <w:jc w:val="start"/>
        <w:rPr>
          <w:rFonts w:ascii="Arial" w:hAnsi="Arial"/>
          <w:b w:val="false"/>
          <w:sz w:val="17"/>
        </w:rPr>
      </w:pPr>
      <w:r>
        <w:rPr>
          <w:rFonts w:ascii="Consolas" w:hAnsi="Consolas"/>
          <w:b w:val="false"/>
          <w:sz w:val="17"/>
        </w:rPr>
        <w:t>{</w:t>
      </w:r>
    </w:p>
    <w:p>
      <w:pPr>
        <w:pStyle w:val="Normal"/>
        <w:bidi w:val="0"/>
        <w:spacing w:before="0" w:after="40"/>
        <w:ind w:hanging="0" w:start="180"/>
        <w:jc w:val="start"/>
        <w:rPr>
          <w:rFonts w:ascii="Arial" w:hAnsi="Arial"/>
          <w:b w:val="false"/>
          <w:sz w:val="17"/>
        </w:rPr>
      </w:pPr>
      <w:r>
        <w:rPr>
          <w:rFonts w:ascii="Consolas" w:hAnsi="Consolas"/>
          <w:b w:val="false"/>
          <w:sz w:val="17"/>
        </w:rPr>
        <w:t>"type": "https://example.invalid/problems/validation",</w:t>
      </w:r>
    </w:p>
    <w:p>
      <w:pPr>
        <w:pStyle w:val="Normal"/>
        <w:bidi w:val="0"/>
        <w:spacing w:before="0" w:after="40"/>
        <w:ind w:hanging="0" w:start="180"/>
        <w:jc w:val="start"/>
        <w:rPr>
          <w:rFonts w:ascii="Arial" w:hAnsi="Arial"/>
          <w:b w:val="false"/>
          <w:sz w:val="17"/>
        </w:rPr>
      </w:pPr>
      <w:r>
        <w:rPr>
          <w:rFonts w:ascii="Consolas" w:hAnsi="Consolas"/>
          <w:b w:val="false"/>
          <w:sz w:val="17"/>
        </w:rPr>
        <w:t>"title": "Invalid request",</w:t>
      </w:r>
    </w:p>
    <w:p>
      <w:pPr>
        <w:pStyle w:val="Normal"/>
        <w:bidi w:val="0"/>
        <w:spacing w:before="0" w:after="40"/>
        <w:ind w:hanging="0" w:start="180"/>
        <w:jc w:val="start"/>
        <w:rPr>
          <w:rFonts w:ascii="Arial" w:hAnsi="Arial"/>
          <w:b w:val="false"/>
          <w:sz w:val="17"/>
        </w:rPr>
      </w:pPr>
      <w:r>
        <w:rPr>
          <w:rFonts w:ascii="Consolas" w:hAnsi="Consolas"/>
          <w:b w:val="false"/>
          <w:sz w:val="17"/>
        </w:rPr>
        <w:t>"status": 422,</w:t>
      </w:r>
    </w:p>
    <w:p>
      <w:pPr>
        <w:pStyle w:val="Normal"/>
        <w:bidi w:val="0"/>
        <w:spacing w:before="0" w:after="40"/>
        <w:ind w:hanging="0" w:start="180"/>
        <w:jc w:val="start"/>
        <w:rPr>
          <w:rFonts w:ascii="Arial" w:hAnsi="Arial"/>
          <w:b w:val="false"/>
          <w:sz w:val="17"/>
        </w:rPr>
      </w:pPr>
      <w:r>
        <w:rPr>
          <w:rFonts w:ascii="Consolas" w:hAnsi="Consolas"/>
          <w:b w:val="false"/>
          <w:sz w:val="17"/>
        </w:rPr>
        <w:t>"detail": "The supplied currency is unsupported",</w:t>
      </w:r>
    </w:p>
    <w:p>
      <w:pPr>
        <w:pStyle w:val="Normal"/>
        <w:bidi w:val="0"/>
        <w:spacing w:before="0" w:after="40"/>
        <w:ind w:hanging="0" w:start="180"/>
        <w:jc w:val="start"/>
        <w:rPr>
          <w:rFonts w:ascii="Arial" w:hAnsi="Arial"/>
          <w:b w:val="false"/>
          <w:sz w:val="17"/>
        </w:rPr>
      </w:pPr>
      <w:r>
        <w:rPr>
          <w:rFonts w:ascii="Consolas" w:hAnsi="Consolas"/>
          <w:b w:val="false"/>
          <w:sz w:val="17"/>
        </w:rPr>
        <w:t>"instance": "/payment-intents/attempt-123",</w:t>
      </w:r>
    </w:p>
    <w:p>
      <w:pPr>
        <w:pStyle w:val="Normal"/>
        <w:bidi w:val="0"/>
        <w:spacing w:before="0" w:after="40"/>
        <w:ind w:hanging="0" w:start="180"/>
        <w:jc w:val="start"/>
        <w:rPr>
          <w:rFonts w:ascii="Arial" w:hAnsi="Arial"/>
          <w:b w:val="false"/>
          <w:sz w:val="17"/>
        </w:rPr>
      </w:pPr>
      <w:r>
        <w:rPr>
          <w:rFonts w:ascii="Consolas" w:hAnsi="Consolas"/>
          <w:b w:val="false"/>
          <w:sz w:val="17"/>
        </w:rPr>
        <w:t>"correlationId": "demo-correlation-001"</w:t>
      </w:r>
    </w:p>
    <w:p>
      <w:pPr>
        <w:pStyle w:val="Normal"/>
        <w:bidi w:val="0"/>
        <w:spacing w:before="0" w:after="40"/>
        <w:ind w:hanging="0" w:start="180"/>
        <w:jc w:val="start"/>
        <w:rPr>
          <w:rFonts w:ascii="Arial" w:hAnsi="Arial"/>
          <w:b w:val="false"/>
          <w:sz w:val="17"/>
        </w:rPr>
      </w:pPr>
      <w:r>
        <w:rPr>
          <w:rFonts w:ascii="Consolas" w:hAnsi="Consolas"/>
          <w:b w:val="false"/>
          <w:sz w:val="17"/>
        </w:rPr>
        <w:t>}</w:t>
      </w:r>
    </w:p>
    <w:p>
      <w:pPr>
        <w:pStyle w:val="Normal"/>
        <w:bidi w:val="0"/>
        <w:spacing w:before="0" w:after="9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New recommendation: Consider RFC 9457 Problem Details or a documented equivalent; separate validation errors, business refusals, transient technical failure and unknown post-dispatch outcomes. Never expose internal stack traces, tokens or personal data.</w:t>
      </w:r>
    </w:p>
    <w:p>
      <w:pPr>
        <w:pStyle w:val="Normal"/>
        <w:bidi w:val="0"/>
        <w:spacing w:before="170" w:after="115"/>
        <w:jc w:val="start"/>
        <w:rPr>
          <w:rFonts w:ascii="Arial" w:hAnsi="Arial"/>
          <w:b w:val="false"/>
          <w:sz w:val="26"/>
        </w:rPr>
      </w:pPr>
      <w:r>
        <w:rPr>
          <w:rFonts w:ascii="Arial" w:hAnsi="Arial"/>
          <w:b/>
          <w:sz w:val="26"/>
        </w:rPr>
        <w:t>6. Non-atomic operations</w:t>
      </w:r>
    </w:p>
    <w:p>
      <w:pPr>
        <w:pStyle w:val="Normal"/>
        <w:bidi w:val="0"/>
        <w:spacing w:before="0" w:after="9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Source issue: A cross-service operation cannot simply be assumed to commit atomically across independently managed systems.</w:t>
      </w:r>
    </w:p>
    <w:p>
      <w:pPr>
        <w:pStyle w:val="Normal"/>
        <w:bidi w:val="0"/>
        <w:spacing w:before="0" w:after="70"/>
        <w:jc w:val="start"/>
        <w:rPr>
          <w:rFonts w:ascii="Arial" w:hAnsi="Arial"/>
          <w:b w:val="false"/>
          <w:sz w:val="17"/>
        </w:rPr>
      </w:pPr>
      <w:r>
        <w:rPr>
          <w:rFonts w:ascii="Arial" w:hAnsi="Arial"/>
          <w:b w:val="false"/>
          <w:sz w:val="17"/>
        </w:rPr>
        <w:t>Source solution    |    Good fit    |    Trade-off</w:t>
      </w:r>
    </w:p>
    <w:p>
      <w:pPr>
        <w:pStyle w:val="Normal"/>
        <w:bidi w:val="0"/>
        <w:spacing w:before="0" w:after="70"/>
        <w:jc w:val="start"/>
        <w:rPr>
          <w:rFonts w:ascii="Arial" w:hAnsi="Arial"/>
          <w:b w:val="false"/>
          <w:sz w:val="17"/>
        </w:rPr>
      </w:pPr>
      <w:r>
        <w:rPr>
          <w:rFonts w:ascii="Arial" w:hAnsi="Arial"/>
          <w:b w:val="false"/>
          <w:sz w:val="17"/>
        </w:rPr>
        <w:t>Transaction resource / tracked workflow    |    Visible lifecycle with a single status endpoint    |    Requires orchestration and durable state</w:t>
      </w:r>
    </w:p>
    <w:p>
      <w:pPr>
        <w:pStyle w:val="Normal"/>
        <w:bidi w:val="0"/>
        <w:spacing w:before="0" w:after="70"/>
        <w:jc w:val="start"/>
        <w:rPr>
          <w:rFonts w:ascii="Arial" w:hAnsi="Arial"/>
          <w:b w:val="false"/>
          <w:sz w:val="17"/>
        </w:rPr>
      </w:pPr>
      <w:r>
        <w:rPr>
          <w:rFonts w:ascii="Arial" w:hAnsi="Arial"/>
          <w:b w:val="false"/>
          <w:sz w:val="17"/>
        </w:rPr>
        <w:t>Saga    |    Distributed steps with compensations    |    Compensation can fail or differ from a true rollback</w:t>
      </w:r>
    </w:p>
    <w:p>
      <w:pPr>
        <w:pStyle w:val="Normal"/>
        <w:bidi w:val="0"/>
        <w:spacing w:before="0" w:after="9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New payment-specific qualification: A completed external payment is not rolled back by merely reverting a local database row; reversal/refund is a separate business operation with its own finality and reconciliation rules.</w:t>
      </w:r>
    </w:p>
    <w:p>
      <w:pPr>
        <w:pStyle w:val="Normal"/>
        <w:bidi w:val="0"/>
        <w:spacing w:before="170" w:after="115"/>
        <w:jc w:val="start"/>
        <w:rPr>
          <w:rFonts w:ascii="Arial" w:hAnsi="Arial"/>
          <w:b w:val="false"/>
          <w:sz w:val="26"/>
        </w:rPr>
      </w:pPr>
      <w:r>
        <w:rPr>
          <w:rFonts w:ascii="Arial" w:hAnsi="Arial"/>
          <w:b/>
          <w:sz w:val="26"/>
        </w:rPr>
        <w:t>7. Long-running asynchronous operations</w:t>
      </w:r>
    </w:p>
    <w:p>
      <w:pPr>
        <w:pStyle w:val="Normal"/>
        <w:bidi w:val="0"/>
        <w:spacing w:before="0" w:after="9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Source alternatives:</w:t>
      </w:r>
    </w:p>
    <w:p>
      <w:pPr>
        <w:pStyle w:val="Normal"/>
        <w:bidi w:val="0"/>
        <w:spacing w:before="0" w:after="9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 xml:space="preserve">• </w:t>
      </w:r>
      <w:r>
        <w:rPr>
          <w:rFonts w:ascii="Arial" w:hAnsi="Arial"/>
          <w:b w:val="false"/>
          <w:sz w:val="19"/>
        </w:rPr>
        <w:t>202 Accepted + Task resource: start work and poll an operation status.</w:t>
      </w:r>
    </w:p>
    <w:p>
      <w:pPr>
        <w:pStyle w:val="Normal"/>
        <w:bidi w:val="0"/>
        <w:spacing w:before="0" w:after="9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 xml:space="preserve">• </w:t>
      </w:r>
      <w:r>
        <w:rPr>
          <w:rFonts w:ascii="Arial" w:hAnsi="Arial"/>
          <w:b w:val="false"/>
          <w:sz w:val="19"/>
        </w:rPr>
        <w:t>Webhooks: downstream async notification; authentication and retries needed.</w:t>
      </w:r>
    </w:p>
    <w:p>
      <w:pPr>
        <w:pStyle w:val="Normal"/>
        <w:bidi w:val="0"/>
        <w:spacing w:before="0" w:after="9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 xml:space="preserve">• </w:t>
      </w:r>
      <w:r>
        <w:rPr>
          <w:rFonts w:ascii="Arial" w:hAnsi="Arial"/>
          <w:b w:val="false"/>
          <w:sz w:val="19"/>
        </w:rPr>
        <w:t>WebSockets / Server-Sent Events: server pushes progress to active clients.</w:t>
      </w:r>
    </w:p>
    <w:p>
      <w:pPr>
        <w:pStyle w:val="Normal"/>
        <w:bidi w:val="0"/>
        <w:spacing w:before="0" w:after="9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New synthetic example:</w:t>
      </w:r>
    </w:p>
    <w:p>
      <w:pPr>
        <w:pStyle w:val="Normal"/>
        <w:bidi w:val="0"/>
        <w:spacing w:before="0" w:after="40"/>
        <w:ind w:hanging="0" w:start="180"/>
        <w:jc w:val="start"/>
        <w:rPr>
          <w:rFonts w:ascii="Arial" w:hAnsi="Arial"/>
          <w:b w:val="false"/>
          <w:sz w:val="17"/>
        </w:rPr>
      </w:pPr>
      <w:r>
        <w:rPr>
          <w:rFonts w:ascii="Consolas" w:hAnsi="Consolas"/>
          <w:b w:val="false"/>
          <w:sz w:val="17"/>
        </w:rPr>
        <w:t>POST /report-jobs</w:t>
      </w:r>
    </w:p>
    <w:p>
      <w:pPr>
        <w:pStyle w:val="Normal"/>
        <w:bidi w:val="0"/>
        <w:spacing w:before="0" w:after="40"/>
        <w:ind w:hanging="0" w:start="180"/>
        <w:jc w:val="start"/>
        <w:rPr>
          <w:rFonts w:ascii="Arial" w:hAnsi="Arial"/>
          <w:b w:val="false"/>
          <w:sz w:val="17"/>
        </w:rPr>
      </w:pPr>
      <w:r>
        <w:rPr>
          <w:rFonts w:ascii="Consolas" w:hAnsi="Consolas"/>
          <w:b w:val="false"/>
          <w:sz w:val="17"/>
        </w:rPr>
        <w:t>HTTP/1.1 202 Accepted</w:t>
      </w:r>
    </w:p>
    <w:p>
      <w:pPr>
        <w:pStyle w:val="Normal"/>
        <w:bidi w:val="0"/>
        <w:spacing w:before="0" w:after="40"/>
        <w:ind w:hanging="0" w:start="180"/>
        <w:jc w:val="start"/>
        <w:rPr>
          <w:rFonts w:ascii="Arial" w:hAnsi="Arial"/>
          <w:b w:val="false"/>
          <w:sz w:val="17"/>
        </w:rPr>
      </w:pPr>
      <w:r>
        <w:rPr>
          <w:rFonts w:ascii="Consolas" w:hAnsi="Consolas"/>
          <w:b w:val="false"/>
          <w:sz w:val="17"/>
        </w:rPr>
        <w:t>Location: /report-jobs/job-2026-001</w:t>
      </w:r>
    </w:p>
    <w:p>
      <w:pPr>
        <w:pStyle w:val="Normal"/>
        <w:bidi w:val="0"/>
        <w:spacing w:before="0" w:after="40"/>
        <w:ind w:hanging="0" w:start="180"/>
        <w:jc w:val="start"/>
        <w:rPr>
          <w:rFonts w:ascii="Arial" w:hAnsi="Arial"/>
          <w:b w:val="false"/>
          <w:sz w:val="17"/>
        </w:rPr>
      </w:pPr>
      <w:r>
        <w:rPr>
          <w:rFonts w:ascii="Consolas" w:hAnsi="Consolas"/>
          <w:b w:val="false"/>
          <w:sz w:val="17"/>
        </w:rPr>
        <w:t>Retry-After: 10</w:t>
      </w:r>
    </w:p>
    <w:p>
      <w:pPr>
        <w:pStyle w:val="Normal"/>
        <w:bidi w:val="0"/>
        <w:spacing w:before="0" w:after="9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Client polls GET /report-jobs/job-2026-001 until a terminal state. Define QUEUED, RUNNING, SUCCEEDED, FAILED and expiration.</w:t>
      </w:r>
    </w:p>
    <w:p>
      <w:pPr>
        <w:pStyle w:val="Normal"/>
        <w:bidi w:val="0"/>
        <w:spacing w:before="0" w:after="9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New recovery controls: Durable queueing, access-scoped status URLs, non-guessable IDs, callback signature verification, bounded retries and dead-letter review.</w:t>
      </w:r>
    </w:p>
    <w:p>
      <w:pPr>
        <w:pStyle w:val="Normal"/>
        <w:bidi w:val="0"/>
        <w:spacing w:before="170" w:after="115"/>
        <w:jc w:val="start"/>
        <w:rPr>
          <w:rFonts w:ascii="Arial" w:hAnsi="Arial"/>
          <w:b w:val="false"/>
          <w:sz w:val="26"/>
        </w:rPr>
      </w:pPr>
      <w:r>
        <w:rPr>
          <w:rFonts w:ascii="Arial" w:hAnsi="Arial"/>
          <w:b/>
          <w:sz w:val="26"/>
        </w:rPr>
        <w:t>8. Idempotency and retry safety</w:t>
      </w:r>
    </w:p>
    <w:p>
      <w:pPr>
        <w:pStyle w:val="Normal"/>
        <w:bidi w:val="0"/>
        <w:spacing w:before="0" w:after="9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Source solutions: Client-provided Idempotency-Key for retryable commands, plus server-enforced unique business keys where appropriate.</w:t>
      </w:r>
    </w:p>
    <w:p>
      <w:pPr>
        <w:pStyle w:val="Normal"/>
        <w:bidi w:val="0"/>
        <w:spacing w:before="0" w:after="9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New engineering recipe for payment initiation:</w:t>
      </w:r>
    </w:p>
    <w:p>
      <w:pPr>
        <w:pStyle w:val="Normal"/>
        <w:bidi w:val="0"/>
        <w:spacing w:before="0" w:after="9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1. Define scope: e.g. merchant + operation type + idempotency key.</w:t>
      </w:r>
    </w:p>
    <w:p>
      <w:pPr>
        <w:pStyle w:val="Normal"/>
        <w:bidi w:val="0"/>
        <w:spacing w:before="0" w:after="9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2. Store a hash of the normalized, non-sensitive request and current outcome.</w:t>
      </w:r>
    </w:p>
    <w:p>
      <w:pPr>
        <w:pStyle w:val="Normal"/>
        <w:bidi w:val="0"/>
        <w:spacing w:before="0" w:after="9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3. Reject reuse of the same key with materially different parameters.</w:t>
      </w:r>
    </w:p>
    <w:p>
      <w:pPr>
        <w:pStyle w:val="Normal"/>
        <w:bidi w:val="0"/>
        <w:spacing w:before="0" w:after="9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4. Prevent concurrent duplicate dispatch via durable unique claim/lock.</w:t>
      </w:r>
    </w:p>
    <w:p>
      <w:pPr>
        <w:pStyle w:val="Normal"/>
        <w:bidi w:val="0"/>
        <w:spacing w:before="0" w:after="9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5. On timeout after dispatch, keep an unknown state and inquire with the provider; never assume DECLINED.</w:t>
      </w:r>
    </w:p>
    <w:p>
      <w:pPr>
        <w:pStyle w:val="Normal"/>
        <w:bidi w:val="0"/>
        <w:spacing w:before="0" w:after="9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6. Return stored confirmed outcome for equivalent subsequent retries and define key expiry.</w:t>
      </w:r>
    </w:p>
    <w:p>
      <w:pPr>
        <w:pStyle w:val="Normal"/>
        <w:bidi w:val="0"/>
        <w:spacing w:before="0" w:after="9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Source boundary: The storage algorithm above is a modern payment-reliability expansion, not a verbatim algorithm from the original ten-problem guide.</w:t>
      </w:r>
    </w:p>
    <w:p>
      <w:pPr>
        <w:pStyle w:val="Normal"/>
        <w:bidi w:val="0"/>
        <w:spacing w:before="170" w:after="115"/>
        <w:jc w:val="start"/>
        <w:rPr>
          <w:rFonts w:ascii="Arial" w:hAnsi="Arial"/>
          <w:b w:val="false"/>
          <w:sz w:val="26"/>
        </w:rPr>
      </w:pPr>
      <w:r>
        <w:rPr>
          <w:rFonts w:ascii="Arial" w:hAnsi="Arial"/>
          <w:b/>
          <w:sz w:val="26"/>
        </w:rPr>
        <w:t>9. Managing complex data graphs</w:t>
      </w:r>
    </w:p>
    <w:p>
      <w:pPr>
        <w:pStyle w:val="Normal"/>
        <w:bidi w:val="0"/>
        <w:spacing w:before="0" w:after="9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Source alternatives: GraphQL facade, JSON:API/OData, and Backend for Frontend (BFF) for channel-oriented representations.</w:t>
      </w:r>
    </w:p>
    <w:p>
      <w:pPr>
        <w:pStyle w:val="Normal"/>
        <w:bidi w:val="0"/>
        <w:spacing w:before="0" w:after="70"/>
        <w:jc w:val="start"/>
        <w:rPr>
          <w:rFonts w:ascii="Arial" w:hAnsi="Arial"/>
          <w:b w:val="false"/>
          <w:sz w:val="17"/>
        </w:rPr>
      </w:pPr>
      <w:r>
        <w:rPr>
          <w:rFonts w:ascii="Arial" w:hAnsi="Arial"/>
          <w:b w:val="false"/>
          <w:sz w:val="17"/>
        </w:rPr>
        <w:t>Option    |    Advantage    |    Risk</w:t>
      </w:r>
    </w:p>
    <w:p>
      <w:pPr>
        <w:pStyle w:val="Normal"/>
        <w:bidi w:val="0"/>
        <w:spacing w:before="0" w:after="70"/>
        <w:jc w:val="start"/>
        <w:rPr>
          <w:rFonts w:ascii="Arial" w:hAnsi="Arial"/>
          <w:b w:val="false"/>
          <w:sz w:val="17"/>
        </w:rPr>
      </w:pPr>
      <w:r>
        <w:rPr>
          <w:rFonts w:ascii="Arial" w:hAnsi="Arial"/>
          <w:b w:val="false"/>
          <w:sz w:val="17"/>
        </w:rPr>
        <w:t>GraphQL facade    |    Client selects graph fields    |    Query depth, cost, authorization and caching</w:t>
      </w:r>
    </w:p>
    <w:p>
      <w:pPr>
        <w:pStyle w:val="Normal"/>
        <w:bidi w:val="0"/>
        <w:spacing w:before="0" w:after="70"/>
        <w:jc w:val="start"/>
        <w:rPr>
          <w:rFonts w:ascii="Arial" w:hAnsi="Arial"/>
          <w:b w:val="false"/>
          <w:sz w:val="17"/>
        </w:rPr>
      </w:pPr>
      <w:r>
        <w:rPr>
          <w:rFonts w:ascii="Arial" w:hAnsi="Arial"/>
          <w:b w:val="false"/>
          <w:sz w:val="17"/>
        </w:rPr>
        <w:t>JSON:API / OData    |    Standardized query and relationship semantics    |    Additional protocol complexity</w:t>
      </w:r>
    </w:p>
    <w:p>
      <w:pPr>
        <w:pStyle w:val="Normal"/>
        <w:bidi w:val="0"/>
        <w:spacing w:before="0" w:after="70"/>
        <w:jc w:val="start"/>
        <w:rPr>
          <w:rFonts w:ascii="Arial" w:hAnsi="Arial"/>
          <w:b w:val="false"/>
          <w:sz w:val="17"/>
        </w:rPr>
      </w:pPr>
      <w:r>
        <w:rPr>
          <w:rFonts w:ascii="Arial" w:hAnsi="Arial"/>
          <w:b w:val="false"/>
          <w:sz w:val="17"/>
        </w:rPr>
        <w:t>BFF    |    Tailored representation per web/mobile channel    |    Service maintenance and logic duplication</w:t>
      </w:r>
    </w:p>
    <w:p>
      <w:pPr>
        <w:pStyle w:val="Normal"/>
        <w:bidi w:val="0"/>
        <w:spacing w:before="0" w:after="9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New review control: Enforce query cost/complexity budgets and consistent field-level access across nested resources.</w:t>
      </w:r>
    </w:p>
    <w:p>
      <w:pPr>
        <w:pStyle w:val="Normal"/>
        <w:bidi w:val="0"/>
        <w:spacing w:before="170" w:after="115"/>
        <w:jc w:val="start"/>
        <w:rPr>
          <w:rFonts w:ascii="Arial" w:hAnsi="Arial"/>
          <w:b w:val="false"/>
          <w:sz w:val="26"/>
        </w:rPr>
      </w:pPr>
      <w:r>
        <w:rPr>
          <w:rFonts w:ascii="Arial" w:hAnsi="Arial"/>
          <w:b/>
          <w:sz w:val="26"/>
        </w:rPr>
        <w:t>10. Bulk operations</w:t>
      </w:r>
    </w:p>
    <w:p>
      <w:pPr>
        <w:pStyle w:val="Normal"/>
        <w:bidi w:val="0"/>
        <w:spacing w:before="0" w:after="9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Source alternatives: A single batch endpoint (synchronous) and asynchronous batch processing for large workloads.</w:t>
      </w:r>
    </w:p>
    <w:p>
      <w:pPr>
        <w:pStyle w:val="Normal"/>
        <w:bidi w:val="0"/>
        <w:spacing w:before="0" w:after="9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Example:</w:t>
      </w:r>
    </w:p>
    <w:p>
      <w:pPr>
        <w:pStyle w:val="Normal"/>
        <w:bidi w:val="0"/>
        <w:spacing w:before="0" w:after="40"/>
        <w:ind w:hanging="0" w:start="180"/>
        <w:jc w:val="start"/>
        <w:rPr>
          <w:rFonts w:ascii="Arial" w:hAnsi="Arial"/>
          <w:b w:val="false"/>
          <w:sz w:val="17"/>
        </w:rPr>
      </w:pPr>
      <w:r>
        <w:rPr>
          <w:rFonts w:ascii="Consolas" w:hAnsi="Consolas"/>
          <w:b w:val="false"/>
          <w:sz w:val="17"/>
        </w:rPr>
        <w:t>PATCH /employees/bulk-update</w:t>
      </w:r>
    </w:p>
    <w:p>
      <w:pPr>
        <w:pStyle w:val="Normal"/>
        <w:bidi w:val="0"/>
        <w:spacing w:before="0" w:after="40"/>
        <w:ind w:hanging="0" w:start="180"/>
        <w:jc w:val="start"/>
        <w:rPr>
          <w:rFonts w:ascii="Arial" w:hAnsi="Arial"/>
          <w:b w:val="false"/>
          <w:sz w:val="17"/>
        </w:rPr>
      </w:pPr>
      <w:r>
        <w:rPr>
          <w:rFonts w:ascii="Consolas" w:hAnsi="Consolas"/>
          <w:b w:val="false"/>
          <w:sz w:val="17"/>
        </w:rPr>
        <w:t>Content-Type: application/json</w:t>
      </w:r>
    </w:p>
    <w:p>
      <w:pPr>
        <w:pStyle w:val="Normal"/>
        <w:bidi w:val="0"/>
        <w:spacing w:before="0" w:after="40"/>
        <w:ind w:hanging="0" w:start="180"/>
        <w:jc w:val="start"/>
        <w:rPr>
          <w:rFonts w:ascii="Arial" w:hAnsi="Arial"/>
          <w:b w:val="false"/>
          <w:sz w:val="17"/>
        </w:rPr>
      </w:pPr>
      <w:r>
        <w:rPr>
          <w:rFonts w:ascii="Consolas" w:hAnsi="Consolas"/>
          <w:b w:val="false"/>
          <w:sz w:val="17"/>
        </w:rPr>
        <w:t>{</w:t>
      </w:r>
    </w:p>
    <w:p>
      <w:pPr>
        <w:pStyle w:val="Normal"/>
        <w:bidi w:val="0"/>
        <w:spacing w:before="0" w:after="40"/>
        <w:ind w:hanging="0" w:start="180"/>
        <w:jc w:val="start"/>
        <w:rPr>
          <w:rFonts w:ascii="Arial" w:hAnsi="Arial"/>
          <w:b w:val="false"/>
          <w:sz w:val="17"/>
        </w:rPr>
      </w:pPr>
      <w:r>
        <w:rPr>
          <w:rFonts w:ascii="Consolas" w:hAnsi="Consolas"/>
          <w:b w:val="false"/>
          <w:sz w:val="17"/>
        </w:rPr>
        <w:t>"employees": [</w:t>
      </w:r>
    </w:p>
    <w:p>
      <w:pPr>
        <w:pStyle w:val="Normal"/>
        <w:bidi w:val="0"/>
        <w:spacing w:before="0" w:after="40"/>
        <w:ind w:hanging="0" w:start="180"/>
        <w:jc w:val="start"/>
        <w:rPr>
          <w:rFonts w:ascii="Arial" w:hAnsi="Arial"/>
          <w:b w:val="false"/>
          <w:sz w:val="17"/>
        </w:rPr>
      </w:pPr>
      <w:r>
        <w:rPr>
          <w:rFonts w:ascii="Consolas" w:hAnsi="Consolas"/>
          <w:b w:val="false"/>
          <w:sz w:val="17"/>
        </w:rPr>
        <w:t>{"id": "EMP-101", "department": "Operations"},</w:t>
      </w:r>
    </w:p>
    <w:p>
      <w:pPr>
        <w:pStyle w:val="Normal"/>
        <w:bidi w:val="0"/>
        <w:spacing w:before="0" w:after="40"/>
        <w:ind w:hanging="0" w:start="180"/>
        <w:jc w:val="start"/>
        <w:rPr>
          <w:rFonts w:ascii="Arial" w:hAnsi="Arial"/>
          <w:b w:val="false"/>
          <w:sz w:val="17"/>
        </w:rPr>
      </w:pPr>
      <w:r>
        <w:rPr>
          <w:rFonts w:ascii="Consolas" w:hAnsi="Consolas"/>
          <w:b w:val="false"/>
          <w:sz w:val="17"/>
        </w:rPr>
        <w:t>{"id": "EMP-102", "department": "Support"}</w:t>
      </w:r>
    </w:p>
    <w:p>
      <w:pPr>
        <w:pStyle w:val="Normal"/>
        <w:bidi w:val="0"/>
        <w:spacing w:before="0" w:after="40"/>
        <w:ind w:hanging="0" w:start="180"/>
        <w:jc w:val="start"/>
        <w:rPr>
          <w:rFonts w:ascii="Arial" w:hAnsi="Arial"/>
          <w:b w:val="false"/>
          <w:sz w:val="17"/>
        </w:rPr>
      </w:pPr>
      <w:r>
        <w:rPr>
          <w:rFonts w:ascii="Consolas" w:hAnsi="Consolas"/>
          <w:b w:val="false"/>
          <w:sz w:val="17"/>
        </w:rPr>
        <w:t>]</w:t>
      </w:r>
    </w:p>
    <w:p>
      <w:pPr>
        <w:pStyle w:val="Normal"/>
        <w:bidi w:val="0"/>
        <w:spacing w:before="0" w:after="40"/>
        <w:ind w:hanging="0" w:start="180"/>
        <w:jc w:val="start"/>
        <w:rPr>
          <w:rFonts w:ascii="Arial" w:hAnsi="Arial"/>
          <w:b w:val="false"/>
          <w:sz w:val="17"/>
        </w:rPr>
      </w:pPr>
      <w:r>
        <w:rPr>
          <w:rFonts w:ascii="Consolas" w:hAnsi="Consolas"/>
          <w:b w:val="false"/>
          <w:sz w:val="17"/>
        </w:rPr>
        <w:t>}</w:t>
      </w:r>
    </w:p>
    <w:p>
      <w:pPr>
        <w:pStyle w:val="Normal"/>
        <w:bidi w:val="0"/>
        <w:spacing w:before="0" w:after="9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Source trade-off: Partial success needs per-item outcomes; the original mentions HTTP 207 Multi-Status. New qualification: 207 is one possible contract choice, originally defined for WebDAV; it is not a universal requirement for bulk REST operations. HTTP 200/202 with explicit item outcomes is also defensible if clearly specified.</w:t>
      </w:r>
    </w:p>
    <w:p>
      <w:pPr>
        <w:pStyle w:val="Normal"/>
        <w:bidi w:val="0"/>
        <w:spacing w:before="0" w:after="9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For large jobs, return 202 plus a correlation/task identifier and include durable per-item status, restart and result retention policies.</w:t>
      </w:r>
    </w:p>
    <w:p>
      <w:pPr>
        <w:pStyle w:val="Normal"/>
        <w:bidi w:val="0"/>
        <w:spacing w:before="170" w:after="115"/>
        <w:jc w:val="start"/>
        <w:rPr>
          <w:rFonts w:ascii="Arial" w:hAnsi="Arial"/>
          <w:b w:val="false"/>
          <w:sz w:val="26"/>
        </w:rPr>
      </w:pPr>
      <w:r>
        <w:rPr>
          <w:rFonts w:ascii="Arial" w:hAnsi="Arial"/>
          <w:b/>
          <w:sz w:val="26"/>
        </w:rPr>
        <w:t>Cross-cutting source conclusions</w:t>
      </w:r>
    </w:p>
    <w:p>
      <w:pPr>
        <w:pStyle w:val="Normal"/>
        <w:bidi w:val="0"/>
        <w:spacing w:before="0" w:after="9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The source's closing recommendations emphasize API as a developer product, security by default, documentation, HTTP caching (Cache-Control, ETag, Last-Modified), rate limiting, observability and designing for high-load mobile use.</w:t>
      </w:r>
    </w:p>
    <w:p>
      <w:pPr>
        <w:pStyle w:val="Normal"/>
        <w:bidi w:val="0"/>
        <w:spacing w:before="120" w:after="90"/>
        <w:jc w:val="star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New API review checklist</w:t>
      </w:r>
    </w:p>
    <w:p>
      <w:pPr>
        <w:pStyle w:val="Normal"/>
        <w:bidi w:val="0"/>
        <w:spacing w:before="0" w:after="9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 xml:space="preserve">• </w:t>
      </w:r>
      <w:r>
        <w:rPr>
          <w:rFonts w:ascii="Arial" w:hAnsi="Arial"/>
          <w:b w:val="false"/>
          <w:sz w:val="19"/>
        </w:rPr>
        <w:t>[ ] Resources and command names follow agreed conventions.</w:t>
      </w:r>
    </w:p>
    <w:p>
      <w:pPr>
        <w:pStyle w:val="Normal"/>
        <w:bidi w:val="0"/>
        <w:spacing w:before="0" w:after="9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 xml:space="preserve">• </w:t>
      </w:r>
      <w:r>
        <w:rPr>
          <w:rFonts w:ascii="Arial" w:hAnsi="Arial"/>
          <w:b w:val="false"/>
          <w:sz w:val="19"/>
        </w:rPr>
        <w:t>[ ] Each request, response, filter, cursor and conditional field is specified.</w:t>
      </w:r>
    </w:p>
    <w:p>
      <w:pPr>
        <w:pStyle w:val="Normal"/>
        <w:bidi w:val="0"/>
        <w:spacing w:before="0" w:after="9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 xml:space="preserve">• </w:t>
      </w:r>
      <w:r>
        <w:rPr>
          <w:rFonts w:ascii="Arial" w:hAnsi="Arial"/>
          <w:b w:val="false"/>
          <w:sz w:val="19"/>
        </w:rPr>
        <w:t>[ ] Authentication, authorization, data exposure and tenant isolation are explicit.</w:t>
      </w:r>
    </w:p>
    <w:p>
      <w:pPr>
        <w:pStyle w:val="Normal"/>
        <w:bidi w:val="0"/>
        <w:spacing w:before="0" w:after="9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 xml:space="preserve">• </w:t>
      </w:r>
      <w:r>
        <w:rPr>
          <w:rFonts w:ascii="Arial" w:hAnsi="Arial"/>
          <w:b w:val="false"/>
          <w:sz w:val="19"/>
        </w:rPr>
        <w:t>[ ] Idempotent operations and ambiguous provider outcomes have a recovery contract.</w:t>
      </w:r>
    </w:p>
    <w:p>
      <w:pPr>
        <w:pStyle w:val="Normal"/>
        <w:bidi w:val="0"/>
        <w:spacing w:before="0" w:after="9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 xml:space="preserve">• </w:t>
      </w:r>
      <w:r>
        <w:rPr>
          <w:rFonts w:ascii="Arial" w:hAnsi="Arial"/>
          <w:b w:val="false"/>
          <w:sz w:val="19"/>
        </w:rPr>
        <w:t>[ ] 429, timeout, validation, retry, and terminal business refusal semantics are distinct.</w:t>
      </w:r>
    </w:p>
    <w:p>
      <w:pPr>
        <w:pStyle w:val="Normal"/>
        <w:bidi w:val="0"/>
        <w:spacing w:before="0" w:after="9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 xml:space="preserve">• </w:t>
      </w:r>
      <w:r>
        <w:rPr>
          <w:rFonts w:ascii="Arial" w:hAnsi="Arial"/>
          <w:b w:val="false"/>
          <w:sz w:val="19"/>
        </w:rPr>
        <w:t>[ ] Partial/bulk processing specifies per-item atomicity and error aggregation.</w:t>
      </w:r>
    </w:p>
    <w:p>
      <w:pPr>
        <w:pStyle w:val="Normal"/>
        <w:bidi w:val="0"/>
        <w:spacing w:before="0" w:after="9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 xml:space="preserve">• </w:t>
      </w:r>
      <w:r>
        <w:rPr>
          <w:rFonts w:ascii="Arial" w:hAnsi="Arial"/>
          <w:b w:val="false"/>
          <w:sz w:val="19"/>
        </w:rPr>
        <w:t>[ ] Webhooks are authenticated, replay-safe and observable.</w:t>
      </w:r>
    </w:p>
    <w:p>
      <w:pPr>
        <w:pStyle w:val="Normal"/>
        <w:bidi w:val="0"/>
        <w:spacing w:before="0" w:after="9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 xml:space="preserve">• </w:t>
      </w:r>
      <w:r>
        <w:rPr>
          <w:rFonts w:ascii="Arial" w:hAnsi="Arial"/>
          <w:b w:val="false"/>
          <w:sz w:val="19"/>
        </w:rPr>
        <w:t>[ ] OpenAPI schemas and example payloads are validated in CI.</w:t>
      </w:r>
    </w:p>
    <w:p>
      <w:pPr>
        <w:pStyle w:val="Normal"/>
        <w:bidi w:val="0"/>
        <w:spacing w:before="0" w:after="9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 xml:space="preserve">• </w:t>
      </w:r>
      <w:r>
        <w:rPr>
          <w:rFonts w:ascii="Arial" w:hAnsi="Arial"/>
          <w:b w:val="false"/>
          <w:sz w:val="19"/>
        </w:rPr>
        <w:t>[ ] Breaking changes have a migration/deprecation policy.</w:t>
      </w:r>
    </w:p>
    <w:p>
      <w:pPr>
        <w:pStyle w:val="Normal"/>
        <w:bidi w:val="0"/>
        <w:spacing w:before="0" w:after="9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 xml:space="preserve">• </w:t>
      </w:r>
      <w:r>
        <w:rPr>
          <w:rFonts w:ascii="Arial" w:hAnsi="Arial"/>
          <w:b w:val="false"/>
          <w:sz w:val="19"/>
        </w:rPr>
        <w:t>[ ] Non-functional requirements specify measurable latency, throughput and availability.</w:t>
      </w:r>
    </w:p>
    <w:p>
      <w:pPr>
        <w:pStyle w:val="Normal"/>
        <w:bidi w:val="0"/>
        <w:spacing w:before="170" w:after="115"/>
        <w:jc w:val="start"/>
        <w:rPr>
          <w:rFonts w:ascii="Arial" w:hAnsi="Arial"/>
          <w:b w:val="false"/>
          <w:sz w:val="26"/>
        </w:rPr>
      </w:pPr>
      <w:r>
        <w:rPr>
          <w:rFonts w:ascii="Arial" w:hAnsi="Arial"/>
          <w:b/>
          <w:sz w:val="26"/>
        </w:rPr>
        <w:t>Downloadable reference</w:t>
      </w:r>
    </w:p>
    <w:p>
      <w:pPr>
        <w:pStyle w:val="Normal"/>
        <w:bidi w:val="0"/>
        <w:spacing w:before="0" w:after="9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 xml:space="preserve">• </w:t>
      </w:r>
      <w:r>
        <w:rPr>
          <w:rFonts w:ascii="Arial" w:hAnsi="Arial"/>
          <w:b w:val="false"/>
          <w:sz w:val="19"/>
        </w:rPr>
        <w:t>Editable API parameterization guide (RTF)</w:t>
      </w:r>
    </w:p>
    <w:p>
      <w:pPr>
        <w:pStyle w:val="Normal"/>
        <w:bidi w:val="0"/>
        <w:spacing w:before="0" w:after="9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 xml:space="preserve">• </w:t>
      </w:r>
      <w:r>
        <w:rPr>
          <w:rFonts w:ascii="Arial" w:hAnsi="Arial"/>
          <w:b w:val="false"/>
          <w:sz w:val="19"/>
        </w:rPr>
        <w:t>OpenAPI 3.1 payment-intent reference JSON (new, fictional educational contract)</w:t>
      </w:r>
    </w:p>
    <w:p>
      <w:pPr>
        <w:pStyle w:val="Normal"/>
        <w:bidi w:val="0"/>
        <w:spacing w:before="0" w:after="9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 xml:space="preserve">• </w:t>
      </w:r>
      <w:r>
        <w:rPr>
          <w:rFonts w:ascii="Arial" w:hAnsi="Arial"/>
          <w:b w:val="false"/>
          <w:sz w:val="19"/>
        </w:rPr>
        <w:t>Employee Bulk Update API, Async Report Sequence, Payment State Machine.</w:t>
      </w:r>
    </w:p>
    <w:p>
      <w:pPr>
        <w:pStyle w:val="Normal"/>
        <w:bidi w:val="0"/>
        <w:spacing w:before="0" w:after="9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Public adaptation, CC BY 4.0. No bank- or scheme-specific interface is represented as authoritative. Original source file remains private.</w:t>
      </w:r>
    </w:p>
    <w:p>
      <w:pPr>
        <w:pStyle w:val="Normal"/>
        <w:bidi w:val="0"/>
        <w:spacing w:before="180" w:after="0"/>
        <w:jc w:val="start"/>
        <w:rPr>
          <w:rFonts w:ascii="Arial" w:hAnsi="Arial"/>
          <w:b w:val="false"/>
          <w:sz w:val="17"/>
        </w:rPr>
      </w:pPr>
      <w:r>
        <w:rPr>
          <w:rFonts w:ascii="Arial" w:hAnsi="Arial"/>
          <w:b w:val="false"/>
          <w:sz w:val="17"/>
        </w:rPr>
        <w:t>Sergei Budnik | Public learning edition | CC BY 4.0</w:t>
      </w:r>
    </w:p>
    <w:sectPr>
      <w:type w:val="nextPage"/>
      <w:pgSz w:w="11906" w:h="16838"/>
      <w:pgMar w:left="960" w:right="960" w:gutter="0" w:header="0" w:top="920" w:footer="0" w:bottom="92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DejaVu Sans" w:cs="DejaVu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