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80"/>
        <w:jc w:val="start"/>
        <w:rPr>
          <w:rFonts w:ascii="Arial" w:hAnsi="Arial"/>
          <w:sz w:val="17"/>
        </w:rPr>
      </w:pPr>
      <w:r>
        <w:rPr>
          <w:rFonts w:ascii="Arial" w:hAnsi="Arial"/>
          <w:sz w:val="17"/>
        </w:rPr>
        <w:t>Public educational adaptation | Sergei Budnik | CC BY 4.0</w:t>
      </w:r>
    </w:p>
    <w:p>
      <w:pPr>
        <w:pStyle w:val="Normal"/>
        <w:bidi w:val="0"/>
        <w:spacing w:before="180" w:after="160"/>
        <w:jc w:val="start"/>
        <w:rPr>
          <w:rFonts w:ascii="Arial" w:hAnsi="Arial"/>
          <w:b w:val="false"/>
          <w:sz w:val="31"/>
        </w:rPr>
      </w:pPr>
      <w:r>
        <w:rPr>
          <w:rFonts w:ascii="Arial" w:hAnsi="Arial"/>
          <w:b/>
          <w:sz w:val="31"/>
        </w:rPr>
        <w:t>Apple Pay Provisioning: Tokenization and Issuer Verification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STORAGE source: SEQUENCE_EXAMPLES.docx, Example #2, titled Apple Pay Tokenization (Visa) — Wallet-Initiated (Issuer-Assisted). The original diagram has 24 numbered interactions among cardholder, Wallet/PassKit, provisioning APIs, Visa Token Service, issuer tokenization service and secure device storage.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This publication is a generalized learning model, not a verified or certified Apple/Visa API contract. The source includes provider-internal messages and cryptographic/key-material descriptions. The public diagram removes those implementation-specific payloads rather than asserting that they are publicly available APIs.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Source participants and responsibilities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Source actor    |    Public logical role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Cardholder    |    Requests to add an existing card to a device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Apple Wallet / PassKit    |    Customer-facing card provisioning UI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Apple provisioning services    |    Manages platform-side provisioning session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Network tokenization service (VTS in source)    |    Processes token request and token lifecycle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Issuer token service    |    Makes eligibility/risk and step-up decisions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Device secure storage    |    Holds authorized device payment credential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Lifecycle preserved from the source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1. Enrollment start: cardholder selects Add Card; device capabilities and session context are checked.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2. Card submission: Wallet sends protected provisioning information to relevant platform/network services.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3. Issuer decision: issuer checks eligibility/risk and determines whether additional verification is required.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4. Step-up path: SMS/call/email one-time code or redirect to issuer banking application, subject to supported methods.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5. No-step-up path: issuer/network confirm eligibility according to applicable risk decisions.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6. Provisioning: tokenization platform and Wallet complete secure credential activation.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7. Completion: user sees that the card has been added; provisioning status is synchronized.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original depicts tokenized PAN and wrapped key material. Their exact contract is outside this public reference. Do not treat either as plaintext business data that integrators should store.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Architecture review and recovery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Risk    |    Design review consideration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Wallet UI reports success but token activation unfinished    |    Query authoritative token status rather than assuming active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OTP challenge expired or failed    |    Rate limit and use issuer-approved retry/step-up procedures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Token created but provisioning callback lost    |    Correlate stable token/session reference; reconcile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Device changed or removed    |    Token lifecycle suspension/deletion policies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Duplicate provisioning attempts    |    Provider-controlled enrollment correlation and dedupe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These are new review questions, not claims of actual Visa/Apple backend behavior.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Editable sequence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Download generic Apple Pay provisioning sequence (.puml).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limitation: The actual issuer provisioning interfaces, message contracts and scheme requirements must be sourced from approved provider documentation. CC BY 4.0 for this public adaptation.</w:t>
      </w:r>
    </w:p>
    <w:sectPr>
      <w:type w:val="nextPage"/>
      <w:pgSz w:w="11906" w:h="16838"/>
      <w:pgMar w:left="1080" w:right="1080" w:gutter="0" w:header="0" w:top="1000" w:footer="0" w:bottom="10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