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00" w:after="18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Backend SRS: Card Blocking and Legacy Client Compatibility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Source: \BACK_SRS_EXAMPLE_2.docx\, STORAGE library v1.0.0 (September 2025). The original specifies \POST card/block\, legacy/new mobile-client behavior, a mandatory card identifier, card-reason values, card-network routing, card-state persistence and success/error mapping. This is a new bank-neutral educational edition: production endpoint paths, support contacts, exact internal database names, numeric status dictionaries and sample credentials are deliberately omitted.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1. Purpose and business behavior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Allow an authenticated customer to block a card for reasons such as temporary customer block, lost or stolen. The sample supports two client-contract generations with different input parameters.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2. Compatibility model from the source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Caller        |        Incoming information        |        Back-end behavior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Legacy client        |        Card identifier and SMS confirmation, no explicit \cardStatus\        |        Verify an OTP/SMS challenge; infer the default customer-block reason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New client        |        Card identifier and explicit \cardStatus\ reason        |        Process the reason and apply the new client verification contract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Invalid caller / card        |        Unauthenticated, unauthorized, unknown or ineligible card        |        Reject without changing card status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Important: Skipping SMS in the newer branch is part of the original example's flow; it is not a recommendation to remove authentication or step-up verification. A production implementation must define permitted actions and security policy for each client version.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3. Public conceptual request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\\\http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POST /v1/cards/{cardId}/block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Authorization: Bearer &lt;access_token&gt;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Content-Type: application/json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Idempotency-Key: &lt;uuid&gt;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\\\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\\\json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{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"cardStatus": "LOST",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"reason": "Card cannot be located"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}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\\\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endpoint, \reason\ and idempotency header are public illustrative additions, not an exact replica of the source interface.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4. Processing steps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1. Validate caller and ownership of the card.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2. Resolve client-contract version and required verification mechanism.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3. Validate card identifier and eligible lifecycle transition.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4. Map normalized block reason to provider/processor-specific status.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5. Select the supported card-processing destination.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6. Invoke processor card-status operation with protected correlation.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7. Only after a confirmed positive result, update local card state and emit an auditable event.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8. When a provider outcome is ambiguous, inquire/reconcile before assuming failure or reissuing the command.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names Visa/UnionPay route selection. Its precise processor-specific mapping values and card-table enumeration are excluded from this public contract.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5. Business status mapping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Incoming intent        |        Canonical public status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Temporary customer block        |        \BLOCKED_BY_CARDHOLDER\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Lost card        |        \LOST\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Stolen card        |        \STOLEN\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A real processor may require entirely different numeric/textual reason codes; the adapter owns that translation.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6. Error and recovery scenarios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Failure        |        Required behavior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Card cannot be found        |        No status update; controlled customer-facing not-found error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User lacks card ownership        |        Reject before external call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Verification invalid or expired        |        Request re-verification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Processor returns explicit rejection        |        Preserve original local status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Network timeout after dispatch        |        Store pending/unknown command, attempt provider status resolution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Duplicate card-block command        |        Idempotency and status guards prevent uncontrolled repeated side effects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Provider success but local update fails        |        Repair local projection from authoritative provider status, with audit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error table includes exact issuer-specific numeric codes and support contacts. Those are not valid generic backend error codes.</w:t>
      </w:r>
    </w:p>
    <w:p>
      <w:pPr>
        <w:pStyle w:val="Normal"/>
        <w:bidi w:val="0"/>
        <w:spacing w:before="19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7. Editable sequence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Download card-block processing sequence (PlantUML).</w:t>
      </w:r>
    </w:p>
    <w:p>
      <w:pPr>
        <w:pStyle w:val="Normal"/>
        <w:bidi w:val="0"/>
        <w:spacing w:before="0" w:after="85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Blank Backend SRS · Idempotency and state patterns · CC BY 4.0.</w:t>
      </w:r>
    </w:p>
    <w:p>
      <w:pPr>
        <w:pStyle w:val="Normal"/>
        <w:bidi w:val="0"/>
        <w:spacing w:before="160" w:after="0"/>
        <w:jc w:val="start"/>
        <w:rPr>
          <w:rFonts w:ascii="Arial" w:hAnsi="Arial"/>
          <w:b w:val="false"/>
          <w:sz w:val="17"/>
        </w:rPr>
      </w:pPr>
      <w:r>
        <w:rPr>
          <w:rFonts w:ascii="Arial" w:hAnsi="Arial"/>
          <w:b w:val="false"/>
          <w:sz w:val="17"/>
        </w:rPr>
        <w:t>Public educational edition - Sergei Budnik - CC BY 4.0</w:t>
      </w:r>
    </w:p>
    <w:sectPr>
      <w:type w:val="nextPage"/>
      <w:pgSz w:w="11906" w:h="16838"/>
      <w:pgMar w:left="1080" w:right="1080" w:gutter="0" w:header="0" w:top="960" w:footer="0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