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before="0" w:after="180"/>
        <w:jc w:val="start"/>
        <w:rPr>
          <w:rFonts w:ascii="Arial" w:hAnsi="Arial"/>
          <w:sz w:val="17"/>
        </w:rPr>
      </w:pPr>
      <w:r>
        <w:rPr>
          <w:rFonts w:ascii="Arial" w:hAnsi="Arial"/>
          <w:sz w:val="17"/>
        </w:rPr>
        <w:t>Public educational adaptation | Sergei Budnik | CC BY 4.0</w:t>
      </w:r>
    </w:p>
    <w:p>
      <w:pPr>
        <w:pStyle w:val="Normal"/>
        <w:bidi w:val="0"/>
        <w:spacing w:before="180" w:after="160"/>
        <w:jc w:val="start"/>
        <w:rPr>
          <w:rFonts w:ascii="Arial" w:hAnsi="Arial"/>
          <w:b w:val="false"/>
          <w:sz w:val="31"/>
        </w:rPr>
      </w:pPr>
      <w:r>
        <w:rPr>
          <w:rFonts w:ascii="Arial" w:hAnsi="Arial"/>
          <w:b/>
          <w:sz w:val="31"/>
        </w:rPr>
        <w:t>Food Delivery Marketplace: Functional and Non-Functional Requirements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Source: FT_NFT_EXAMPLE.docx, Example_2, STORAGE v1.0.0 (2025-09-04). Its eleven logical source groups are preserved below: A–I and K (the original uses K after I; no J section exists). Requirements and numeric values are sample targets, not measured production outcomes.</w:t>
      </w:r>
    </w:p>
    <w:p>
      <w:pPr>
        <w:pStyle w:val="Normal"/>
        <w:bidi w:val="0"/>
        <w:spacing w:before="20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A. Catalog and Search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ID    |    Source requirement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FR-CAT-01    |    List restaurant name, delivery time, featured dishes, rating and current promotions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FR-CAT-02    |    Search restaurant by name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FR-CAT-03    |    Filter by cuisine, rating, time and price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FR-CAT-04    |    Sort by delivery time, rating, relevance or promotion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FR-CAT-05    |    Pagination or infinite-scroll / lazy loading</w:t>
      </w:r>
    </w:p>
    <w:p>
      <w:pPr>
        <w:pStyle w:val="Normal"/>
        <w:bidi w:val="0"/>
        <w:spacing w:before="20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B. Menu and Dish Details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ID    |    Source requirement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FR-MENU-01    |    Show name, price, weight, calories and photo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FR-ITEM-01    |    Dish details include description, macronutrients, calories and price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FR-ITEM-02    |    Ingredients and allergens where available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FR-ITEM-03    |    Dish variants, spice level, sauce and other modifiers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FR-ITEM-04    |    Availability and related item recommendations</w:t>
      </w:r>
    </w:p>
    <w:p>
      <w:pPr>
        <w:pStyle w:val="Normal"/>
        <w:bidi w:val="0"/>
        <w:spacing w:before="20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C. Basket and Pricing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ID    |    Source requirement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FR-CART-01 / 02    |    Add from menu or from dish page with selected quantity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FR-CART-03    |    Basket lines, weight, unit price, delivery cost/time and total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FR-CART-04 / 05    |    Increase/decrease quantity and remove items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FR-CART-06    |    Promo code and amount recalculation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FR-CART-07    |    Preset and custom tips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FR-CART-08    |    Minimum order / area coverage, delivery address, ASAP or slot selection</w:t>
      </w:r>
    </w:p>
    <w:p>
      <w:pPr>
        <w:pStyle w:val="Normal"/>
        <w:bidi w:val="0"/>
        <w:spacing w:before="20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D. Checkout and Payments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ID    |    Source example requirement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FR-PAY-01    |    Card online, cash to courier, card to courier (mPOS)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FR-PAY-02    |    SCA/3-D Secure for online cards; status via webhooks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FR-PAY-03    |    Confirm order and issue electronic receipt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FR-PAY-04    |    Cancel before Preparing; issue partial/full refund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FR-PAY-05    |    Optional card-on-file tokenized by processor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NFR-PAY-01    |    Example target: PCI DSS SAQ-A scope, TLS 1.2+, signed provider callback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NFR-PAY-02    |    Example p95 payment initiation ≤ 600 ms, webhook confirmation ≤ 3 sec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NFR-PAY-03    |    Payment availability 99.95%; API/DB idempotency; logs ≥ 6 years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Source-quality warning: SAQ-A eligibility depends on the actual integration and PCI responsibilities; it cannot be guaranteed by stating a requirement. Financial data retention also depends on applicable laws/contracts.</w:t>
      </w:r>
    </w:p>
    <w:p>
      <w:pPr>
        <w:pStyle w:val="Normal"/>
        <w:bidi w:val="0"/>
        <w:spacing w:before="20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E–G. Support, Tracking and Notifications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Area    |    Source requirements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Chat FR-SUP-01/02    |    Online/offline support, reply alerts, virus-scanned attachments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NFR-SUP-AVAIL-01    |    99.9% monthly chat availability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NFR-SUP-RET-01    |    Chat 12-month online and 24-month archive history; deletion example ≤ 30 days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NFR-SUP-FILE-01    |    Up to 25 MB/file, 100 MB/conversation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FR-TRK-01    |    Live courier position/ETA on a map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NFR-TRACK-01    |    Courier position updates at least once per 15 sec; GPS smoothing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FR-NOTIF-01    |    Push, SMS or email on key order state changes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NFR-NOTIF-01    |    Delivery according to platform monitoring/queue SLO</w:t>
      </w:r>
    </w:p>
    <w:p>
      <w:pPr>
        <w:pStyle w:val="Normal"/>
        <w:bidi w:val="0"/>
        <w:spacing w:before="20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H. Authentication, Addresses and Coverage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ID    |    Source requirement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FR-AUTH-01/02    |    Email/password or phone OTP signup/login; optional Apple/Google login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FR-AUTH-03–05    |    Password reset, optional MFA, sign out all devices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FR-ADDR-01–04    |    Address CRUD/default, geocoding, coverage and saved locations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NFR-AUTH-01    |    bcrypt/argon2, JWT/session rotation and rate limits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NFR-AUTH-02    |    p95 login ≤ 500 ms, address ops ≤ 300 ms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NFR-ADDR-01    |    Manual address entry if geocoder unavailable</w:t>
      </w:r>
    </w:p>
    <w:p>
      <w:pPr>
        <w:pStyle w:val="Normal"/>
        <w:bidi w:val="0"/>
        <w:spacing w:before="20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I. Ratings, ETA and Order Status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ID    |    Source requirement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FR-RATE-01–03    |    1–5 ratings, one review per order, moderation, official replies, aggregation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FR-ETA-01    |    ETA displayed in restaurant card and basket; dynamic recalculation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FR-STAT-01    |    Order: NEW → CONFIRMED → PREPARING → READY_FOR_PICKUP → PICKED_UP → (NEARBY) → DELIVERED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FR-STAT-02    |    Reassign courier or pause restaurant with ETA/notification updates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NFR-RATE-01    |    Review cannot publish until ≥ 15 min post-delivery; abuse controls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NFR-RATE-02    |    p95 publish/aggregate ≤ 300 ms; eventual consistency ≤ 1 min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NFR-ETA-01    |    ETA MAE ≤ 6 min for distance ≤ 5 km; recalc at least every 30 sec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NFR-STAT-01    |    Immutable, attributable history of status transitions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Source exception statuses include CANCELLED_USER, CANCELLED_RESTAURANT, FAILED_PAYMENT and REFUNDED. These are example order/payment outcomes, not a single universal transition chain.</w:t>
      </w:r>
    </w:p>
    <w:p>
      <w:pPr>
        <w:pStyle w:val="Normal"/>
        <w:bidi w:val="0"/>
        <w:spacing w:before="20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K. Shared Platform NFRs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ID    |    Source target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NFR-PLAT-01/02    |    iOS/Android + responsive web; RU and EN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NFR-PLAT-03/04    |    HTTPS/TLS 1.2+, distinct User/Courier RBAC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NFR-PERF-01    |    1 million active users/day, 10,000 RPS sustained and 20,000 RPS burst as example assumptions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NFR-SLO-01    |    Core API 99.9% monthly, p95 catalog 200 ms, cart 300 ms, order 400 ms, 5xx ≤ 0.2%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NFR-A11Y-01    |    WCAG 2.2 AA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NFR-OBS-01    |    Latency/errors, webhook delivery, ETA accuracy and queue metrics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NFR-DR-01    |    RPO ≤ 5 min, RTO ≤ 30 min, quarterly drills</w:t>
      </w:r>
    </w:p>
    <w:p>
      <w:pPr>
        <w:pStyle w:val="Normal"/>
        <w:bidi w:val="0"/>
        <w:spacing w:before="0" w:after="75"/>
        <w:ind w:hanging="0" w:start="180"/>
        <w:jc w:val="start"/>
        <w:rPr>
          <w:rFonts w:ascii="Arial" w:hAnsi="Arial"/>
          <w:b w:val="false"/>
          <w:sz w:val="18"/>
        </w:rPr>
      </w:pPr>
      <w:r>
        <w:rPr>
          <w:rFonts w:ascii="Arial" w:hAnsi="Arial"/>
          <w:b w:val="false"/>
          <w:sz w:val="18"/>
        </w:rPr>
        <w:t>NFR-SEC-01    |    Mask PII; 90-day online logs plus ≥ 365-day archive</w:t>
      </w:r>
    </w:p>
    <w:p>
      <w:pPr>
        <w:pStyle w:val="Normal"/>
        <w:bidi w:val="0"/>
        <w:spacing w:before="200" w:after="100"/>
        <w:jc w:val="start"/>
        <w:rPr>
          <w:rFonts w:ascii="Arial" w:hAnsi="Arial"/>
          <w:b w:val="false"/>
          <w:sz w:val="25"/>
        </w:rPr>
      </w:pPr>
      <w:r>
        <w:rPr>
          <w:rFonts w:ascii="Arial" w:hAnsi="Arial"/>
          <w:b/>
          <w:sz w:val="25"/>
        </w:rPr>
        <w:t>Architectural interpretation (added)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These numeric expectations are not mutually validated by the source. Before using them in a real solution, a team must establish concurrent-active load, request mix, seasonal peaks, payment-provider boundaries, cost, actual data retention duties and verification methods.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For a filled functional SRS see Food Delivery SRS. For the source's first support-console example see Support Console FR/NFR. For an editable sheet use the Source Downloads.</w:t>
      </w:r>
    </w:p>
    <w:p>
      <w:pPr>
        <w:pStyle w:val="Normal"/>
        <w:bidi w:val="0"/>
        <w:spacing w:before="0" w:after="100"/>
        <w:jc w:val="start"/>
        <w:rPr>
          <w:rFonts w:ascii="Arial" w:hAnsi="Arial"/>
          <w:b w:val="false"/>
          <w:sz w:val="19"/>
        </w:rPr>
      </w:pPr>
      <w:r>
        <w:rPr>
          <w:rFonts w:ascii="Arial" w:hAnsi="Arial"/>
          <w:b w:val="false"/>
          <w:sz w:val="19"/>
        </w:rPr>
        <w:t>License: CC BY 4.0.</w:t>
      </w:r>
    </w:p>
    <w:sectPr>
      <w:type w:val="nextPage"/>
      <w:pgSz w:w="11906" w:h="16838"/>
      <w:pgMar w:left="1080" w:right="1080" w:gutter="0" w:header="0" w:top="1000" w:footer="0" w:bottom="100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DejaVu Sans" w:cs="DejaVu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