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200" w:after="180"/>
        <w:jc w:val="start"/>
        <w:rPr>
          <w:rFonts w:ascii="Arial" w:hAnsi="Arial"/>
          <w:b w:val="false"/>
          <w:sz w:val="31"/>
        </w:rPr>
      </w:pPr>
      <w:r>
        <w:rPr>
          <w:rFonts w:ascii="Arial" w:hAnsi="Arial"/>
          <w:b/>
          <w:sz w:val="31"/>
        </w:rPr>
        <w:t>Business Requirements: Catalogue, Order Messaging and Store Discovery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Source: \BR_EXAMPLE.docx\ from the author's original STORAGE collection (v1.0.0, 2025-09-04). The source juxtaposes three business-requirement examples and a small PIM requirement table. This edition retains the business intent but removes a named retailer and system-specific identifiers.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Source guidance: what a business requirement is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original says a business requirement should: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1. Correspond to a specific business goal served by the system.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2. Avoid prescribing low-level implementation.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3. Stay within the agreed project scope.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Example A — Product Information Management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original includes these requirement IDs: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ID        |        Business need stated in source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PIM21        |        Provide an internal product catalogue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PIM22        |        Support finding products by attributes such as season and article number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PIM23        |        Support a hierarchy such as product → model-color → model, with inherited configuration and level-specific descriptions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Review addition: Verify which catalogue hierarchy is owned by the business and how overrides/inheritance should behave before assigning technical schemas.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Example B — Order notifications for fulfillment staff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source proposes a dedicated channel notifying warehouse/order-assembly staff about orders with the “Auto” receipt type. The original names a specific retailer's system, omitted here.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- Business goal: Ensure assembly staff receive relevant orders without having to search multiple systems.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- In scope: Event selection, delivery of order data, visibility of failed delivery.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- Acceptance consideration (added): Every eligible order is forwarded no more than once at business-effect level, and rejected notifications are observable.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Example C — Store data and location discovery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source includes two customer-value statements: correctly formalized store information on the website, reducing checkout blockers; and map location centered on the customer's city/town to reduce navigation steps.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Objective        |        Suggested measurable acceptance (new)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Reliable store data        |        Test required store information fields and checkout mapping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City-first map discovery        |        Measure steps from opening location finder to selecting a store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Translating to architecture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examples distinguish outcome-focused business requirements from follow-on functional and integration specifications. A real solution might later need a product catalogue service, event-driven fulfillment integration or geolocation/branch API; those are design possibilities, not requirements mandated by the original source.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Related: BRD template · HLD checklist · CC BY 4.0.</w:t>
      </w:r>
    </w:p>
    <w:p>
      <w:pPr>
        <w:pStyle w:val="Normal"/>
        <w:bidi w:val="0"/>
        <w:spacing w:before="160" w:after="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Public educational edition - Sergei Budnik - CC BY 4.0</w:t>
      </w:r>
    </w:p>
    <w:sectPr>
      <w:type w:val="nextPage"/>
      <w:pgSz w:w="11906" w:h="16838"/>
      <w:pgMar w:left="1080" w:right="1080" w:gutter="0" w:header="0" w:top="960" w:footer="0" w:bottom="9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