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00" w:after="180"/>
        <w:jc w:val="start"/>
        <w:rPr>
          <w:rFonts w:ascii="Arial" w:hAnsi="Arial"/>
          <w:b w:val="false"/>
          <w:sz w:val="31"/>
        </w:rPr>
      </w:pPr>
      <w:r>
        <w:rPr>
          <w:rFonts w:ascii="Arial" w:hAnsi="Arial"/>
          <w:b/>
          <w:sz w:val="31"/>
        </w:rPr>
        <w:t>Functional and Non-Functional Requirements — Support Desk</w:t>
      </w:r>
    </w:p>
    <w:p>
      <w:pPr>
        <w:pStyle w:val="Normal"/>
        <w:bidi w:val="0"/>
        <w:spacing w:before="0" w:after="85"/>
        <w:jc w:val="start"/>
        <w:rPr>
          <w:rFonts w:ascii="Arial" w:hAnsi="Arial"/>
          <w:b w:val="false"/>
          <w:sz w:val="19"/>
        </w:rPr>
      </w:pPr>
      <w:r>
        <w:rPr>
          <w:rFonts w:ascii="Arial" w:hAnsi="Arial"/>
          <w:b w:val="false"/>
          <w:sz w:val="19"/>
        </w:rPr>
        <w:t>Source: \FT_NFT_EXAMPLE.docx\, Example 1, STORAGE v1.0.0 (2025). This public edition retains the original example's A–E sections, selected requirement IDs, numerical objectives and role definitions. Some explanatory review guidance is new and labelled accordingly.</w:t>
      </w:r>
    </w:p>
    <w:p>
      <w:pPr>
        <w:pStyle w:val="Normal"/>
        <w:bidi w:val="0"/>
        <w:spacing w:before="190" w:after="100"/>
        <w:jc w:val="start"/>
        <w:rPr>
          <w:rFonts w:ascii="Arial" w:hAnsi="Arial"/>
          <w:b w:val="false"/>
          <w:sz w:val="25"/>
        </w:rPr>
      </w:pPr>
      <w:r>
        <w:rPr>
          <w:rFonts w:ascii="Arial" w:hAnsi="Arial"/>
          <w:b/>
          <w:sz w:val="25"/>
        </w:rPr>
        <w:t>Business scenario</w:t>
      </w:r>
    </w:p>
    <w:p>
      <w:pPr>
        <w:pStyle w:val="Normal"/>
        <w:bidi w:val="0"/>
        <w:spacing w:before="0" w:after="85"/>
        <w:jc w:val="start"/>
        <w:rPr>
          <w:rFonts w:ascii="Arial" w:hAnsi="Arial"/>
          <w:b w:val="false"/>
          <w:sz w:val="19"/>
        </w:rPr>
      </w:pPr>
      <w:r>
        <w:rPr>
          <w:rFonts w:ascii="Arial" w:hAnsi="Arial"/>
          <w:b w:val="false"/>
          <w:sz w:val="19"/>
        </w:rPr>
        <w:t>A company's ten-person support team handles customer-reported errors and product suggestions. The department asks for a filterable console and the ability to export feedback as ODT documents. This is an educational scenario, not an active support desk deployment.</w:t>
      </w:r>
    </w:p>
    <w:p>
      <w:pPr>
        <w:pStyle w:val="Normal"/>
        <w:bidi w:val="0"/>
        <w:spacing w:before="190" w:after="100"/>
        <w:jc w:val="start"/>
        <w:rPr>
          <w:rFonts w:ascii="Arial" w:hAnsi="Arial"/>
          <w:b w:val="false"/>
          <w:sz w:val="25"/>
        </w:rPr>
      </w:pPr>
      <w:r>
        <w:rPr>
          <w:rFonts w:ascii="Arial" w:hAnsi="Arial"/>
          <w:b/>
          <w:sz w:val="25"/>
        </w:rPr>
        <w:t>A. Specialist Console — Authentication and Roles</w:t>
      </w:r>
    </w:p>
    <w:p>
      <w:pPr>
        <w:pStyle w:val="Normal"/>
        <w:bidi w:val="0"/>
        <w:spacing w:before="0" w:after="85"/>
        <w:jc w:val="start"/>
        <w:rPr>
          <w:rFonts w:ascii="Arial" w:hAnsi="Arial"/>
          <w:b w:val="false"/>
          <w:sz w:val="19"/>
        </w:rPr>
      </w:pPr>
      <w:r>
        <w:rPr>
          <w:rFonts w:ascii="Arial" w:hAnsi="Arial"/>
          <w:b w:val="false"/>
          <w:sz w:val="19"/>
        </w:rPr>
        <w:t>ID        |        Source requirement</w:t>
      </w:r>
    </w:p>
    <w:p>
      <w:pPr>
        <w:pStyle w:val="Normal"/>
        <w:bidi w:val="0"/>
        <w:spacing w:before="0" w:after="85"/>
        <w:jc w:val="start"/>
        <w:rPr>
          <w:rFonts w:ascii="Arial" w:hAnsi="Arial"/>
          <w:b w:val="false"/>
          <w:sz w:val="19"/>
        </w:rPr>
      </w:pPr>
      <w:r>
        <w:rPr>
          <w:rFonts w:ascii="Arial" w:hAnsi="Arial"/>
          <w:b w:val="false"/>
          <w:sz w:val="19"/>
        </w:rPr>
        <w:t>FR-SPC-AUTH-01        |        Admin can provision a specialist via secured backoffice; optional bulk CSV import and role assignment</w:t>
      </w:r>
    </w:p>
    <w:p>
      <w:pPr>
        <w:pStyle w:val="Normal"/>
        <w:bidi w:val="0"/>
        <w:spacing w:before="0" w:after="85"/>
        <w:jc w:val="start"/>
        <w:rPr>
          <w:rFonts w:ascii="Arial" w:hAnsi="Arial"/>
          <w:b w:val="false"/>
          <w:sz w:val="19"/>
        </w:rPr>
      </w:pPr>
      <w:r>
        <w:rPr>
          <w:rFonts w:ascii="Arial" w:hAnsi="Arial"/>
          <w:b w:val="false"/>
          <w:sz w:val="19"/>
        </w:rPr>
        <w:t>FR-SPC-AUTH-02        |        Email/password with optional SSO (SAML/OIDC); alternative secure authentication for on-call workflows</w:t>
      </w:r>
    </w:p>
    <w:p>
      <w:pPr>
        <w:pStyle w:val="Normal"/>
        <w:bidi w:val="0"/>
        <w:spacing w:before="0" w:after="85"/>
        <w:jc w:val="start"/>
        <w:rPr>
          <w:rFonts w:ascii="Arial" w:hAnsi="Arial"/>
          <w:b w:val="false"/>
          <w:sz w:val="19"/>
        </w:rPr>
      </w:pPr>
      <w:r>
        <w:rPr>
          <w:rFonts w:ascii="Arial" w:hAnsi="Arial"/>
          <w:b w:val="false"/>
          <w:sz w:val="19"/>
        </w:rPr>
        <w:t>FR-SPC-AUTH-03        |        At minimum: Specialist, Senior/Reviewer and Admin RBAC roles</w:t>
      </w:r>
    </w:p>
    <w:p>
      <w:pPr>
        <w:pStyle w:val="Normal"/>
        <w:bidi w:val="0"/>
        <w:spacing w:before="0" w:after="85"/>
        <w:jc w:val="start"/>
        <w:rPr>
          <w:rFonts w:ascii="Arial" w:hAnsi="Arial"/>
          <w:b w:val="false"/>
          <w:sz w:val="19"/>
        </w:rPr>
      </w:pPr>
      <w:r>
        <w:rPr>
          <w:rFonts w:ascii="Arial" w:hAnsi="Arial"/>
          <w:b w:val="false"/>
          <w:sz w:val="19"/>
        </w:rPr>
        <w:t>FR-SPC-AUTH-04        |        Data access restricted by assignment; sensitive customer-field edits require elevated privilege</w:t>
      </w:r>
    </w:p>
    <w:p>
      <w:pPr>
        <w:pStyle w:val="Normal"/>
        <w:bidi w:val="0"/>
        <w:spacing w:before="0" w:after="85"/>
        <w:jc w:val="start"/>
        <w:rPr>
          <w:rFonts w:ascii="Arial" w:hAnsi="Arial"/>
          <w:b w:val="false"/>
          <w:sz w:val="19"/>
        </w:rPr>
      </w:pPr>
      <w:r>
        <w:rPr>
          <w:rFonts w:ascii="Arial" w:hAnsi="Arial"/>
          <w:b w:val="false"/>
          <w:sz w:val="19"/>
        </w:rPr>
        <w:t>FR-SPC-AUTH-05        |        Four-eyes approval for incidents marked “requires review”</w:t>
      </w:r>
    </w:p>
    <w:p>
      <w:pPr>
        <w:pStyle w:val="Normal"/>
        <w:bidi w:val="0"/>
        <w:spacing w:before="0" w:after="85"/>
        <w:jc w:val="start"/>
        <w:rPr>
          <w:rFonts w:ascii="Arial" w:hAnsi="Arial"/>
          <w:b w:val="false"/>
          <w:sz w:val="19"/>
        </w:rPr>
      </w:pPr>
      <w:r>
        <w:rPr>
          <w:rFonts w:ascii="Arial" w:hAnsi="Arial"/>
          <w:b w:val="false"/>
          <w:sz w:val="19"/>
        </w:rPr>
        <w:t>FR-SPC-AUTH-06        |        Idle session timeout, device session controls and login audit</w:t>
      </w:r>
    </w:p>
    <w:p>
      <w:pPr>
        <w:pStyle w:val="Normal"/>
        <w:bidi w:val="0"/>
        <w:spacing w:before="0" w:after="85"/>
        <w:jc w:val="start"/>
        <w:rPr>
          <w:rFonts w:ascii="Arial" w:hAnsi="Arial"/>
          <w:b w:val="false"/>
          <w:sz w:val="19"/>
        </w:rPr>
      </w:pPr>
      <w:r>
        <w:rPr>
          <w:rFonts w:ascii="Arial" w:hAnsi="Arial"/>
          <w:b w:val="false"/>
          <w:sz w:val="19"/>
        </w:rPr>
        <w:t>NFR-SPC-AUTH-01        |        Approved password hashing, token/session security, rate limits and authentication monitoring</w:t>
      </w:r>
    </w:p>
    <w:p>
      <w:pPr>
        <w:pStyle w:val="Normal"/>
        <w:bidi w:val="0"/>
        <w:spacing w:before="190" w:after="100"/>
        <w:jc w:val="start"/>
        <w:rPr>
          <w:rFonts w:ascii="Arial" w:hAnsi="Arial"/>
          <w:b w:val="false"/>
          <w:sz w:val="25"/>
        </w:rPr>
      </w:pPr>
      <w:r>
        <w:rPr>
          <w:rFonts w:ascii="Arial" w:hAnsi="Arial"/>
          <w:b/>
          <w:sz w:val="25"/>
        </w:rPr>
        <w:t>B. Support Chat — Operations and UX</w:t>
      </w:r>
    </w:p>
    <w:p>
      <w:pPr>
        <w:pStyle w:val="Normal"/>
        <w:bidi w:val="0"/>
        <w:spacing w:before="0" w:after="85"/>
        <w:jc w:val="start"/>
        <w:rPr>
          <w:rFonts w:ascii="Arial" w:hAnsi="Arial"/>
          <w:b w:val="false"/>
          <w:sz w:val="19"/>
        </w:rPr>
      </w:pPr>
      <w:r>
        <w:rPr>
          <w:rFonts w:ascii="Arial" w:hAnsi="Arial"/>
          <w:b w:val="false"/>
          <w:sz w:val="19"/>
        </w:rPr>
        <w:t>The source requires stored conversations, attachment upload with antivirus checks, inactivity-based close/reopen, FAQ chatbot with human escalation, post-chat 1–5 CSAT, multi-channel notifications and visitor/SSO entry paths.</w:t>
      </w:r>
    </w:p>
    <w:p>
      <w:pPr>
        <w:pStyle w:val="Normal"/>
        <w:bidi w:val="0"/>
        <w:spacing w:before="0" w:after="85"/>
        <w:jc w:val="start"/>
        <w:rPr>
          <w:rFonts w:ascii="Arial" w:hAnsi="Arial"/>
          <w:b w:val="false"/>
          <w:sz w:val="19"/>
        </w:rPr>
      </w:pPr>
      <w:r>
        <w:rPr>
          <w:rFonts w:ascii="Arial" w:hAnsi="Arial"/>
          <w:b w:val="false"/>
          <w:sz w:val="19"/>
        </w:rPr>
        <w:t>ID        |        Source non-functional example target</w:t>
      </w:r>
    </w:p>
    <w:p>
      <w:pPr>
        <w:pStyle w:val="Normal"/>
        <w:bidi w:val="0"/>
        <w:spacing w:before="0" w:after="85"/>
        <w:jc w:val="start"/>
        <w:rPr>
          <w:rFonts w:ascii="Arial" w:hAnsi="Arial"/>
          <w:b w:val="false"/>
          <w:sz w:val="19"/>
        </w:rPr>
      </w:pPr>
      <w:r>
        <w:rPr>
          <w:rFonts w:ascii="Arial" w:hAnsi="Arial"/>
          <w:b w:val="false"/>
          <w:sz w:val="19"/>
        </w:rPr>
        <w:t>NFR-SUP-CAP-02        |        ≥ 400 messages/hour, ≥ 150,000 messages/day</w:t>
      </w:r>
    </w:p>
    <w:p>
      <w:pPr>
        <w:pStyle w:val="Normal"/>
        <w:bidi w:val="0"/>
        <w:spacing w:before="0" w:after="85"/>
        <w:jc w:val="start"/>
        <w:rPr>
          <w:rFonts w:ascii="Arial" w:hAnsi="Arial"/>
          <w:b w:val="false"/>
          <w:sz w:val="19"/>
        </w:rPr>
      </w:pPr>
      <w:r>
        <w:rPr>
          <w:rFonts w:ascii="Arial" w:hAnsi="Arial"/>
          <w:b w:val="false"/>
          <w:sz w:val="19"/>
        </w:rPr>
        <w:t>NFR-SUP-CAP-03        |        Peak ×8 of hourly average: ≥ 3,200 messages/hour for ≥ 2 h</w:t>
      </w:r>
    </w:p>
    <w:p>
      <w:pPr>
        <w:pStyle w:val="Normal"/>
        <w:bidi w:val="0"/>
        <w:spacing w:before="0" w:after="85"/>
        <w:jc w:val="start"/>
        <w:rPr>
          <w:rFonts w:ascii="Arial" w:hAnsi="Arial"/>
          <w:b w:val="false"/>
          <w:sz w:val="19"/>
        </w:rPr>
      </w:pPr>
      <w:r>
        <w:rPr>
          <w:rFonts w:ascii="Arial" w:hAnsi="Arial"/>
          <w:b w:val="false"/>
          <w:sz w:val="19"/>
        </w:rPr>
        <w:t>NFR-SUP-CAP-04        |        ≥ 1,000 concurrent active chats; ≥ 200 RPS (burst ≥ 400); p95 delivery ≤ 250 ms</w:t>
      </w:r>
    </w:p>
    <w:p>
      <w:pPr>
        <w:pStyle w:val="Normal"/>
        <w:bidi w:val="0"/>
        <w:spacing w:before="0" w:after="85"/>
        <w:jc w:val="start"/>
        <w:rPr>
          <w:rFonts w:ascii="Arial" w:hAnsi="Arial"/>
          <w:b w:val="false"/>
          <w:sz w:val="19"/>
        </w:rPr>
      </w:pPr>
      <w:r>
        <w:rPr>
          <w:rFonts w:ascii="Arial" w:hAnsi="Arial"/>
          <w:b w:val="false"/>
          <w:sz w:val="19"/>
        </w:rPr>
        <w:t>NFR-SUP-CAP-05        |        p95 agent wait ≤ 60 seconds; offline email SLA ≤ 4 h</w:t>
      </w:r>
    </w:p>
    <w:p>
      <w:pPr>
        <w:pStyle w:val="Normal"/>
        <w:bidi w:val="0"/>
        <w:spacing w:before="0" w:after="85"/>
        <w:jc w:val="start"/>
        <w:rPr>
          <w:rFonts w:ascii="Arial" w:hAnsi="Arial"/>
          <w:b w:val="false"/>
          <w:sz w:val="19"/>
        </w:rPr>
      </w:pPr>
      <w:r>
        <w:rPr>
          <w:rFonts w:ascii="Arial" w:hAnsi="Arial"/>
          <w:b w:val="false"/>
          <w:sz w:val="19"/>
        </w:rPr>
        <w:t>NFR-SUP-AVAIL-01        |        99.9% monthly chat availability</w:t>
      </w:r>
    </w:p>
    <w:p>
      <w:pPr>
        <w:pStyle w:val="Normal"/>
        <w:bidi w:val="0"/>
        <w:spacing w:before="0" w:after="85"/>
        <w:jc w:val="start"/>
        <w:rPr>
          <w:rFonts w:ascii="Arial" w:hAnsi="Arial"/>
          <w:b w:val="false"/>
          <w:sz w:val="19"/>
        </w:rPr>
      </w:pPr>
      <w:r>
        <w:rPr>
          <w:rFonts w:ascii="Arial" w:hAnsi="Arial"/>
          <w:b w:val="false"/>
          <w:sz w:val="19"/>
        </w:rPr>
        <w:t>NFR-SUP-RET-01        |        12-month online retention and 24-month archive; deletion request window in example ≤ 30 days</w:t>
      </w:r>
    </w:p>
    <w:p>
      <w:pPr>
        <w:pStyle w:val="Normal"/>
        <w:bidi w:val="0"/>
        <w:spacing w:before="0" w:after="85"/>
        <w:jc w:val="start"/>
        <w:rPr>
          <w:rFonts w:ascii="Arial" w:hAnsi="Arial"/>
          <w:b w:val="false"/>
          <w:sz w:val="19"/>
        </w:rPr>
      </w:pPr>
      <w:r>
        <w:rPr>
          <w:rFonts w:ascii="Arial" w:hAnsi="Arial"/>
          <w:b w:val="false"/>
          <w:sz w:val="19"/>
        </w:rPr>
        <w:t>NFR-SUP-FILE-01        |        ≤ 25 MB per file; ≤ 100 MB per conversation</w:t>
      </w:r>
    </w:p>
    <w:p>
      <w:pPr>
        <w:pStyle w:val="Normal"/>
        <w:bidi w:val="0"/>
        <w:spacing w:before="0" w:after="85"/>
        <w:jc w:val="start"/>
        <w:rPr>
          <w:rFonts w:ascii="Arial" w:hAnsi="Arial"/>
          <w:b w:val="false"/>
          <w:sz w:val="19"/>
        </w:rPr>
      </w:pPr>
      <w:r>
        <w:rPr>
          <w:rFonts w:ascii="Arial" w:hAnsi="Arial"/>
          <w:b w:val="false"/>
          <w:sz w:val="19"/>
        </w:rPr>
        <w:t>NFR-SUP-LOG-01        |        Audit actions with masked personal data</w:t>
      </w:r>
    </w:p>
    <w:p>
      <w:pPr>
        <w:pStyle w:val="Normal"/>
        <w:bidi w:val="0"/>
        <w:spacing w:before="0" w:after="85"/>
        <w:jc w:val="start"/>
        <w:rPr>
          <w:rFonts w:ascii="Arial" w:hAnsi="Arial"/>
          <w:b w:val="false"/>
          <w:sz w:val="19"/>
        </w:rPr>
      </w:pPr>
      <w:r>
        <w:rPr>
          <w:rFonts w:ascii="Arial" w:hAnsi="Arial"/>
          <w:b w:val="false"/>
          <w:sz w:val="19"/>
        </w:rPr>
        <w:t>Source-quality note: The message volumes in the example are not naturally consistent as an average hourly/day calculation. Do not silently treat them as an internally validated capacity plan; resolve expected DAU, RPS and volume distribution first.</w:t>
      </w:r>
    </w:p>
    <w:p>
      <w:pPr>
        <w:pStyle w:val="Normal"/>
        <w:bidi w:val="0"/>
        <w:spacing w:before="190" w:after="100"/>
        <w:jc w:val="start"/>
        <w:rPr>
          <w:rFonts w:ascii="Arial" w:hAnsi="Arial"/>
          <w:b w:val="false"/>
          <w:sz w:val="25"/>
        </w:rPr>
      </w:pPr>
      <w:r>
        <w:rPr>
          <w:rFonts w:ascii="Arial" w:hAnsi="Arial"/>
          <w:b/>
          <w:sz w:val="25"/>
        </w:rPr>
        <w:t>C. Filter and Search Panel</w:t>
      </w:r>
    </w:p>
    <w:p>
      <w:pPr>
        <w:pStyle w:val="Normal"/>
        <w:bidi w:val="0"/>
        <w:spacing w:before="0" w:after="85"/>
        <w:jc w:val="start"/>
        <w:rPr>
          <w:rFonts w:ascii="Arial" w:hAnsi="Arial"/>
          <w:b w:val="false"/>
          <w:sz w:val="19"/>
        </w:rPr>
      </w:pPr>
      <w:r>
        <w:rPr>
          <w:rFonts w:ascii="Arial" w:hAnsi="Arial"/>
          <w:b w:val="false"/>
          <w:sz w:val="19"/>
        </w:rPr>
        <w:t>ID        |        Source requirement</w:t>
      </w:r>
    </w:p>
    <w:p>
      <w:pPr>
        <w:pStyle w:val="Normal"/>
        <w:bidi w:val="0"/>
        <w:spacing w:before="0" w:after="85"/>
        <w:jc w:val="start"/>
        <w:rPr>
          <w:rFonts w:ascii="Arial" w:hAnsi="Arial"/>
          <w:b w:val="false"/>
          <w:sz w:val="19"/>
        </w:rPr>
      </w:pPr>
      <w:r>
        <w:rPr>
          <w:rFonts w:ascii="Arial" w:hAnsi="Arial"/>
          <w:b w:val="false"/>
          <w:sz w:val="19"/>
        </w:rPr>
        <w:t>FR-FLT-01        |        Filters for status, priority, dates, assignee, tags, channel, customer, language, region, SLA and CSAT</w:t>
      </w:r>
    </w:p>
    <w:p>
      <w:pPr>
        <w:pStyle w:val="Normal"/>
        <w:bidi w:val="0"/>
        <w:spacing w:before="0" w:after="85"/>
        <w:jc w:val="start"/>
        <w:rPr>
          <w:rFonts w:ascii="Arial" w:hAnsi="Arial"/>
          <w:b w:val="false"/>
          <w:sz w:val="19"/>
        </w:rPr>
      </w:pPr>
      <w:r>
        <w:rPr>
          <w:rFonts w:ascii="Arial" w:hAnsi="Arial"/>
          <w:b w:val="false"/>
          <w:sz w:val="19"/>
        </w:rPr>
        <w:t>FR-FLT-02        |        Sorting by last activity, priority, SLA risk, CSAT</w:t>
      </w:r>
    </w:p>
    <w:p>
      <w:pPr>
        <w:pStyle w:val="Normal"/>
        <w:bidi w:val="0"/>
        <w:spacing w:before="0" w:after="85"/>
        <w:jc w:val="start"/>
        <w:rPr>
          <w:rFonts w:ascii="Arial" w:hAnsi="Arial"/>
          <w:b w:val="false"/>
          <w:sz w:val="19"/>
        </w:rPr>
      </w:pPr>
      <w:r>
        <w:rPr>
          <w:rFonts w:ascii="Arial" w:hAnsi="Arial"/>
          <w:b w:val="false"/>
          <w:sz w:val="19"/>
        </w:rPr>
        <w:t>FR-FLT-03        |        Configurable filter visibility and saved team presets</w:t>
      </w:r>
    </w:p>
    <w:p>
      <w:pPr>
        <w:pStyle w:val="Normal"/>
        <w:bidi w:val="0"/>
        <w:spacing w:before="0" w:after="85"/>
        <w:jc w:val="start"/>
        <w:rPr>
          <w:rFonts w:ascii="Arial" w:hAnsi="Arial"/>
          <w:b w:val="false"/>
          <w:sz w:val="19"/>
        </w:rPr>
      </w:pPr>
      <w:r>
        <w:rPr>
          <w:rFonts w:ascii="Arial" w:hAnsi="Arial"/>
          <w:b w:val="false"/>
          <w:sz w:val="19"/>
        </w:rPr>
        <w:t>FR-FLT-04        |        Controlled bulk actions on result rows</w:t>
      </w:r>
    </w:p>
    <w:p>
      <w:pPr>
        <w:pStyle w:val="Normal"/>
        <w:bidi w:val="0"/>
        <w:spacing w:before="0" w:after="85"/>
        <w:jc w:val="start"/>
        <w:rPr>
          <w:rFonts w:ascii="Arial" w:hAnsi="Arial"/>
          <w:b w:val="false"/>
          <w:sz w:val="19"/>
        </w:rPr>
      </w:pPr>
      <w:r>
        <w:rPr>
          <w:rFonts w:ascii="Arial" w:hAnsi="Arial"/>
          <w:b w:val="false"/>
          <w:sz w:val="19"/>
        </w:rPr>
        <w:t>NFR-FLT-01        |        Typical indexed-search p95 ≤ 300 ms, pagination/lazy loading</w:t>
      </w:r>
    </w:p>
    <w:p>
      <w:pPr>
        <w:pStyle w:val="Normal"/>
        <w:bidi w:val="0"/>
        <w:spacing w:before="0" w:after="85"/>
        <w:jc w:val="start"/>
        <w:rPr>
          <w:rFonts w:ascii="Arial" w:hAnsi="Arial"/>
          <w:b w:val="false"/>
          <w:sz w:val="19"/>
        </w:rPr>
      </w:pPr>
      <w:r>
        <w:rPr>
          <w:rFonts w:ascii="Arial" w:hAnsi="Arial"/>
          <w:b w:val="false"/>
          <w:sz w:val="19"/>
        </w:rPr>
        <w:t>NFR-FLT-02        |        Audit query parameters and duration with PII masking</w:t>
      </w:r>
    </w:p>
    <w:p>
      <w:pPr>
        <w:pStyle w:val="Normal"/>
        <w:bidi w:val="0"/>
        <w:spacing w:before="190" w:after="100"/>
        <w:jc w:val="start"/>
        <w:rPr>
          <w:rFonts w:ascii="Arial" w:hAnsi="Arial"/>
          <w:b w:val="false"/>
          <w:sz w:val="25"/>
        </w:rPr>
      </w:pPr>
      <w:r>
        <w:rPr>
          <w:rFonts w:ascii="Arial" w:hAnsi="Arial"/>
          <w:b/>
          <w:sz w:val="25"/>
        </w:rPr>
        <w:t>D. Feedback Reports and ODT Export</w:t>
      </w:r>
    </w:p>
    <w:p>
      <w:pPr>
        <w:pStyle w:val="Normal"/>
        <w:bidi w:val="0"/>
        <w:spacing w:before="0" w:after="85"/>
        <w:jc w:val="start"/>
        <w:rPr>
          <w:rFonts w:ascii="Arial" w:hAnsi="Arial"/>
          <w:b w:val="false"/>
          <w:sz w:val="19"/>
        </w:rPr>
      </w:pPr>
      <w:r>
        <w:rPr>
          <w:rFonts w:ascii="Arial" w:hAnsi="Arial"/>
          <w:b w:val="false"/>
          <w:sz w:val="19"/>
        </w:rPr>
        <w:t>ID        |        Source requirement</w:t>
      </w:r>
    </w:p>
    <w:p>
      <w:pPr>
        <w:pStyle w:val="Normal"/>
        <w:bidi w:val="0"/>
        <w:spacing w:before="0" w:after="85"/>
        <w:jc w:val="start"/>
        <w:rPr>
          <w:rFonts w:ascii="Arial" w:hAnsi="Arial"/>
          <w:b w:val="false"/>
          <w:sz w:val="19"/>
        </w:rPr>
      </w:pPr>
      <w:r>
        <w:rPr>
          <w:rFonts w:ascii="Arial" w:hAnsi="Arial"/>
          <w:b w:val="false"/>
          <w:sz w:val="19"/>
        </w:rPr>
        <w:t>FR-RPT-01        |        Download feedback/incident data as .odt; PDF/CSV optional</w:t>
      </w:r>
    </w:p>
    <w:p>
      <w:pPr>
        <w:pStyle w:val="Normal"/>
        <w:bidi w:val="0"/>
        <w:spacing w:before="0" w:after="85"/>
        <w:jc w:val="start"/>
        <w:rPr>
          <w:rFonts w:ascii="Arial" w:hAnsi="Arial"/>
          <w:b w:val="false"/>
          <w:sz w:val="19"/>
        </w:rPr>
      </w:pPr>
      <w:r>
        <w:rPr>
          <w:rFonts w:ascii="Arial" w:hAnsi="Arial"/>
          <w:b w:val="false"/>
          <w:sz w:val="19"/>
        </w:rPr>
        <w:t>FR-RPT-02        |        Incident ID, timestamps, channel, category, priority, assignee, lifecycle, resolution, CSAT and attachments list</w:t>
      </w:r>
    </w:p>
    <w:p>
      <w:pPr>
        <w:pStyle w:val="Normal"/>
        <w:bidi w:val="0"/>
        <w:spacing w:before="0" w:after="85"/>
        <w:jc w:val="start"/>
        <w:rPr>
          <w:rFonts w:ascii="Arial" w:hAnsi="Arial"/>
          <w:b w:val="false"/>
          <w:sz w:val="19"/>
        </w:rPr>
      </w:pPr>
      <w:r>
        <w:rPr>
          <w:rFonts w:ascii="Arial" w:hAnsi="Arial"/>
          <w:b w:val="false"/>
          <w:sz w:val="19"/>
        </w:rPr>
        <w:t>FR-RPT-03        |        On-demand, daily, weekly or monthly reporting</w:t>
      </w:r>
    </w:p>
    <w:p>
      <w:pPr>
        <w:pStyle w:val="Normal"/>
        <w:bidi w:val="0"/>
        <w:spacing w:before="0" w:after="85"/>
        <w:jc w:val="start"/>
        <w:rPr>
          <w:rFonts w:ascii="Arial" w:hAnsi="Arial"/>
          <w:b w:val="false"/>
          <w:sz w:val="19"/>
        </w:rPr>
      </w:pPr>
      <w:r>
        <w:rPr>
          <w:rFonts w:ascii="Arial" w:hAnsi="Arial"/>
          <w:b w:val="false"/>
          <w:sz w:val="19"/>
        </w:rPr>
        <w:t>FR-RPT-04        |        Store reports in an immutable or controlled archive; optional distribution email</w:t>
      </w:r>
    </w:p>
    <w:p>
      <w:pPr>
        <w:pStyle w:val="Normal"/>
        <w:bidi w:val="0"/>
        <w:spacing w:before="0" w:after="85"/>
        <w:jc w:val="start"/>
        <w:rPr>
          <w:rFonts w:ascii="Arial" w:hAnsi="Arial"/>
          <w:b w:val="false"/>
          <w:sz w:val="19"/>
        </w:rPr>
      </w:pPr>
      <w:r>
        <w:rPr>
          <w:rFonts w:ascii="Arial" w:hAnsi="Arial"/>
          <w:b w:val="false"/>
          <w:sz w:val="19"/>
        </w:rPr>
        <w:t>NFR-RPT-01        |        Example p95 ≤ 5 seconds to generate 10k-row report</w:t>
      </w:r>
    </w:p>
    <w:p>
      <w:pPr>
        <w:pStyle w:val="Normal"/>
        <w:bidi w:val="0"/>
        <w:spacing w:before="190" w:after="100"/>
        <w:jc w:val="start"/>
        <w:rPr>
          <w:rFonts w:ascii="Arial" w:hAnsi="Arial"/>
          <w:b w:val="false"/>
          <w:sz w:val="25"/>
        </w:rPr>
      </w:pPr>
      <w:r>
        <w:rPr>
          <w:rFonts w:ascii="Arial" w:hAnsi="Arial"/>
          <w:b/>
          <w:sz w:val="25"/>
        </w:rPr>
        <w:t>E. Shared Platform NFRs</w:t>
      </w:r>
    </w:p>
    <w:p>
      <w:pPr>
        <w:pStyle w:val="Normal"/>
        <w:bidi w:val="0"/>
        <w:spacing w:before="0" w:after="85"/>
        <w:jc w:val="start"/>
        <w:rPr>
          <w:rFonts w:ascii="Arial" w:hAnsi="Arial"/>
          <w:b w:val="false"/>
          <w:sz w:val="19"/>
        </w:rPr>
      </w:pPr>
      <w:r>
        <w:rPr>
          <w:rFonts w:ascii="Arial" w:hAnsi="Arial"/>
          <w:b w:val="false"/>
          <w:sz w:val="19"/>
        </w:rPr>
        <w:t>The original describes WCAG 2.2 AA, HTTPS/TLS 1.2+, RBAC, core API availability of 99.9%/month, p95 common read targets around 200–300 ms, and high-capacity plans.</w:t>
      </w:r>
    </w:p>
    <w:p>
      <w:pPr>
        <w:pStyle w:val="Normal"/>
        <w:bidi w:val="0"/>
        <w:spacing w:before="0" w:after="85"/>
        <w:jc w:val="start"/>
        <w:rPr>
          <w:rFonts w:ascii="Arial" w:hAnsi="Arial"/>
          <w:b w:val="false"/>
          <w:sz w:val="19"/>
        </w:rPr>
      </w:pPr>
      <w:r>
        <w:rPr>
          <w:rFonts w:ascii="Arial" w:hAnsi="Arial"/>
          <w:b w:val="false"/>
          <w:sz w:val="19"/>
        </w:rPr>
        <w:t>These are proposed requirement targets from the source, not security certifications, measured benchmarks or legal conclusions.</w:t>
      </w:r>
    </w:p>
    <w:p>
      <w:pPr>
        <w:pStyle w:val="Normal"/>
        <w:bidi w:val="0"/>
        <w:spacing w:before="190" w:after="100"/>
        <w:jc w:val="start"/>
        <w:rPr>
          <w:rFonts w:ascii="Arial" w:hAnsi="Arial"/>
          <w:b w:val="false"/>
          <w:sz w:val="25"/>
        </w:rPr>
      </w:pPr>
      <w:r>
        <w:rPr>
          <w:rFonts w:ascii="Arial" w:hAnsi="Arial"/>
          <w:b/>
          <w:sz w:val="25"/>
        </w:rPr>
        <w:t>Architecture review additions</w:t>
      </w:r>
    </w:p>
    <w:p>
      <w:pPr>
        <w:pStyle w:val="Normal"/>
        <w:bidi w:val="0"/>
        <w:spacing w:before="0" w:after="85"/>
        <w:jc w:val="start"/>
        <w:rPr>
          <w:rFonts w:ascii="Arial" w:hAnsi="Arial"/>
          <w:b w:val="false"/>
          <w:sz w:val="19"/>
        </w:rPr>
      </w:pPr>
      <w:r>
        <w:rPr>
          <w:rFonts w:ascii="Arial" w:hAnsi="Arial"/>
          <w:b w:val="false"/>
          <w:sz w:val="19"/>
        </w:rPr>
        <w:t>- Identify authoritative access-control checks for search, export and document download.</w:t>
      </w:r>
    </w:p>
    <w:p>
      <w:pPr>
        <w:pStyle w:val="Normal"/>
        <w:bidi w:val="0"/>
        <w:spacing w:before="0" w:after="85"/>
        <w:jc w:val="start"/>
        <w:rPr>
          <w:rFonts w:ascii="Arial" w:hAnsi="Arial"/>
          <w:b w:val="false"/>
          <w:sz w:val="19"/>
        </w:rPr>
      </w:pPr>
      <w:r>
        <w:rPr>
          <w:rFonts w:ascii="Arial" w:hAnsi="Arial"/>
          <w:b w:val="false"/>
          <w:sz w:val="19"/>
        </w:rPr>
        <w:t>- Separate report generation from UI request when data volumes exceed synchronous time limits.</w:t>
      </w:r>
    </w:p>
    <w:p>
      <w:pPr>
        <w:pStyle w:val="Normal"/>
        <w:bidi w:val="0"/>
        <w:spacing w:before="0" w:after="85"/>
        <w:jc w:val="start"/>
        <w:rPr>
          <w:rFonts w:ascii="Arial" w:hAnsi="Arial"/>
          <w:b w:val="false"/>
          <w:sz w:val="19"/>
        </w:rPr>
      </w:pPr>
      <w:r>
        <w:rPr>
          <w:rFonts w:ascii="Arial" w:hAnsi="Arial"/>
          <w:b w:val="false"/>
          <w:sz w:val="19"/>
        </w:rPr>
        <w:t>- Encrypt stored exports, enforce expiry and audit access.</w:t>
      </w:r>
    </w:p>
    <w:p>
      <w:pPr>
        <w:pStyle w:val="Normal"/>
        <w:bidi w:val="0"/>
        <w:spacing w:before="0" w:after="85"/>
        <w:jc w:val="start"/>
        <w:rPr>
          <w:rFonts w:ascii="Arial" w:hAnsi="Arial"/>
          <w:b w:val="false"/>
          <w:sz w:val="19"/>
        </w:rPr>
      </w:pPr>
      <w:r>
        <w:rPr>
          <w:rFonts w:ascii="Arial" w:hAnsi="Arial"/>
          <w:b w:val="false"/>
          <w:sz w:val="19"/>
        </w:rPr>
        <w:t>- Replace the sample's assumed SLAs with measured baselines and agreed acceptance plans.</w:t>
      </w:r>
    </w:p>
    <w:p>
      <w:pPr>
        <w:pStyle w:val="Normal"/>
        <w:bidi w:val="0"/>
        <w:spacing w:before="0" w:after="85"/>
        <w:jc w:val="start"/>
        <w:rPr>
          <w:rFonts w:ascii="Arial" w:hAnsi="Arial"/>
          <w:b w:val="false"/>
          <w:sz w:val="19"/>
        </w:rPr>
      </w:pPr>
      <w:r>
        <w:rPr>
          <w:rFonts w:ascii="Arial" w:hAnsi="Arial"/>
          <w:b w:val="false"/>
          <w:sz w:val="19"/>
        </w:rPr>
        <w:t>Related: SRS template · Requirements classifications · CC BY 4.0.</w:t>
      </w:r>
    </w:p>
    <w:p>
      <w:pPr>
        <w:pStyle w:val="Normal"/>
        <w:bidi w:val="0"/>
        <w:spacing w:before="160" w:after="0"/>
        <w:jc w:val="start"/>
        <w:rPr>
          <w:rFonts w:ascii="Arial" w:hAnsi="Arial"/>
          <w:b w:val="false"/>
          <w:sz w:val="17"/>
        </w:rPr>
      </w:pPr>
      <w:r>
        <w:rPr>
          <w:rFonts w:ascii="Arial" w:hAnsi="Arial"/>
          <w:b w:val="false"/>
          <w:sz w:val="17"/>
        </w:rPr>
        <w:t>Public educational edition - Sergei Budnik - CC BY 4.0</w:t>
      </w:r>
    </w:p>
    <w:sectPr>
      <w:type w:val="nextPage"/>
      <w:pgSz w:w="11906" w:h="16838"/>
      <w:pgMar w:left="1080" w:right="1080" w:gutter="0" w:header="0" w:top="960" w:footer="0" w:bottom="9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DejaVu Sans" w:cs="DejaVu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