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80"/>
      </w:pPr>
      <w:r>
        <w:t xml:space="preserve">HLD: Request Management Platform</w:t>
      </w:r>
    </w:p>
    <w:p>
      <w:pPr>
        <w:pStyle w:val="Subtitle"/>
        <w:spacing w:after="80"/>
      </w:pPr>
      <w:r>
        <w:t xml:space="preserve">Author: Sergei Budnik | Public educational adaptation (2026) | Source: HIGH _LEVEL_ARCITECTURE_EXAMPLE_1.docx</w:t>
      </w:r>
    </w:p>
    <w:p>
      <w:pPr>
        <w:pStyle w:val="Normal"/>
        <w:spacing w:after="80"/>
      </w:pPr>
      <w:r>
        <w:t xml:space="preserve">This is an anonymized, editable Word-compatible public edition. The full private source, company identifiers, production deployment parameters and embedded original diagrams are not reproduced.</w:t>
      </w:r>
    </w:p>
    <w:p>
      <w:pPr>
        <w:pStyle w:val="Heading1"/>
        <w:spacing w:after="160"/>
      </w:pPr>
      <w:r>
        <w:t xml:space="preserve">1. Business context and use cases</w:t>
      </w:r>
    </w:p>
    <w:p>
      <w:pPr>
        <w:pStyle w:val="Normal"/>
        <w:spacing w:after="80"/>
      </w:pPr>
      <w:r>
        <w:t xml:space="preserve">Request-management system for creating, editing, reviewing, assigning, rejecting, revising, archiving and closing application requests. Original HLD contained separate use-case, context, component and container diagrams.</w:t>
      </w:r>
    </w:p>
    <w:p>
      <w:pPr>
        <w:pStyle w:val="Normal"/>
        <w:spacing w:after="80"/>
      </w:pPr>
      <w:r>
        <w:t xml:space="preserve">- Business requester: create/edit application and search/view records.</w:t>
      </w:r>
    </w:p>
    <w:p>
      <w:pPr>
        <w:pStyle w:val="Normal"/>
        <w:spacing w:after="80"/>
      </w:pPr>
      <w:r>
        <w:t xml:space="preserve">- Data manager: search, review, approve or return an application and assign to a specialist.</w:t>
      </w:r>
    </w:p>
    <w:p>
      <w:pPr>
        <w:pStyle w:val="Normal"/>
        <w:spacing w:after="80"/>
      </w:pPr>
      <w:r>
        <w:t xml:space="preserve">- Business partner: coordinate and approve submitted applications.</w:t>
      </w:r>
    </w:p>
    <w:p>
      <w:pPr>
        <w:pStyle w:val="Normal"/>
        <w:spacing w:after="80"/>
      </w:pPr>
      <w:r>
        <w:t xml:space="preserve">- Data engineer: take assigned work, process or return a request and close the activity.</w:t>
      </w:r>
    </w:p>
    <w:p>
      <w:pPr>
        <w:pStyle w:val="Normal"/>
        <w:spacing w:after="80"/>
      </w:pPr>
      <w:r>
        <w:t xml:space="preserve">- Metrics and automated email notifications are supporting processes.</w:t>
      </w:r>
    </w:p>
    <w:p>
      <w:pPr>
        <w:pStyle w:val="Heading1"/>
        <w:spacing w:after="160"/>
      </w:pPr>
      <w:r>
        <w:t xml:space="preserve">2. Context and security boundaries</w:t>
      </w:r>
    </w:p>
    <w:p>
      <w:pPr>
        <w:pStyle w:val="Normal"/>
        <w:spacing w:after="80"/>
      </w:pPr>
      <w:r>
        <w:t xml:space="preserve">User workstations connect to a browser portal via authenticated HTTPS. The ingress boundary forwards frontend and API calls to controlled backend services. A separate permissions service, notification provider and data store are supporting components. The source referenced a corporate identity service and monitoring platform; the public edition omits their proper names.</w:t>
      </w:r>
    </w:p>
    <w:p>
      <w:pPr>
        <w:pStyle w:val="Normal"/>
        <w:spacing w:after="80"/>
      </w:pPr>
      <w:r>
        <w:t xml:space="preserve">- Human roles: requester, manager, business partner, data engineer.</w:t>
      </w:r>
    </w:p>
    <w:p>
      <w:pPr>
        <w:pStyle w:val="Normal"/>
        <w:spacing w:after="80"/>
      </w:pPr>
      <w:r>
        <w:t xml:space="preserve">- External dependencies: identity source, email provider, centralized audit/monitoring.</w:t>
      </w:r>
    </w:p>
    <w:p>
      <w:pPr>
        <w:pStyle w:val="Normal"/>
        <w:spacing w:after="80"/>
      </w:pPr>
      <w:r>
        <w:t xml:space="preserve">- Data ownership: request service owns application lifecycle; authorization service owns access decisions.</w:t>
      </w:r>
    </w:p>
    <w:p>
      <w:pPr>
        <w:pStyle w:val="Normal"/>
        <w:spacing w:after="80"/>
      </w:pPr>
      <w:r>
        <w:t xml:space="preserve">- Editable context, components and container diagrams: static/editable/requests-architecture.drawio.</w:t>
      </w:r>
    </w:p>
    <w:p>
      <w:pPr>
        <w:pStyle w:val="Heading1"/>
        <w:spacing w:after="160"/>
      </w:pPr>
      <w:r>
        <w:t xml:space="preserve">3. Logical component catalogue</w:t>
      </w:r>
    </w:p>
    <w:tbl>
      <w:tblPr>
        <w:tblW w:w="9200" w:type="dxa"/>
        <w:tblBorders>
          <w:top w:val="single" w:sz="3" w:color="C8D6DE"/>
          <w:left w:val="single" w:sz="3" w:color="C8D6DE"/>
          <w:bottom w:val="single" w:sz="3" w:color="C8D6DE"/>
          <w:right w:val="single" w:sz="3" w:color="C8D6DE"/>
          <w:insideH w:val="single" w:sz="3" w:color="C8D6DE"/>
          <w:insideV w:val="single" w:sz="3" w:color="C8D6DE"/>
        </w:tblBorders>
        <w:tblCellMar>
          <w:top w:w="85" w:type="dxa"/>
          <w:left w:w="90" w:type="dxa"/>
          <w:bottom w:w="85" w:type="dxa"/>
          <w:right w:w="90" w:type="dxa"/>
        </w:tblCellMar>
      </w:tblPr>
      <w:tblGrid>
        <w:gridCol w:w="3066"/>
        <w:gridCol w:w="3066"/>
        <w:gridCol w:w="3066"/>
      </w:tblGrid>
      <w:tr>
        <w:tc>
          <w:tcPr>
            <w:tcW w:w="3066" w:type="dxa"/>
            <w:shd w:fill="E9F1F5"/>
          </w:tcPr>
          <w:p>
            <w:pPr>
              <w:spacing w:after="60"/>
              <w:rPr>
                <w:sz w:val="17"/>
              </w:rPr>
            </w:pPr>
            <w:r>
              <w:t xml:space="preserve">Component</w:t>
            </w:r>
          </w:p>
        </w:tc>
        <w:tc>
          <w:tcPr>
            <w:tcW w:w="3066" w:type="dxa"/>
            <w:shd w:fill="E9F1F5"/>
          </w:tcPr>
          <w:p>
            <w:pPr>
              <w:spacing w:after="60"/>
              <w:rPr>
                <w:sz w:val="17"/>
              </w:rPr>
            </w:pPr>
            <w:r>
              <w:t xml:space="preserve">Responsibility</w:t>
            </w:r>
          </w:p>
        </w:tc>
        <w:tc>
          <w:tcPr>
            <w:tcW w:w="3066" w:type="dxa"/>
            <w:shd w:fill="E9F1F5"/>
          </w:tcPr>
          <w:p>
            <w:pPr>
              <w:spacing w:after="60"/>
              <w:rPr>
                <w:sz w:val="17"/>
              </w:rPr>
            </w:pPr>
            <w:r>
              <w:t xml:space="preserve">Technology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Request Portal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Create/edit, search and view application requests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ReactJS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API Gateway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Authentication context, routing, common request checks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Java / Spring Cloud Gateway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Request Management Service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Business lifecycle for applications and assignments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Java / Spring Boot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Authorization Service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Access model, role and operation permissions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Java / Spring Boot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Notification Service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Prepare and send application-change notifications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Java / Spring Boot</w:t>
            </w:r>
          </w:p>
        </w:tc>
      </w:tr>
    </w:tbl>
    <w:p>
      <w:pPr>
        <w:pStyle w:val="Heading1"/>
        <w:spacing w:after="160"/>
      </w:pPr>
      <w:r>
        <w:t xml:space="preserve">4. External interactions (source structure 1.x)</w:t>
      </w:r>
    </w:p>
    <w:tbl>
      <w:tblPr>
        <w:tblW w:w="9200" w:type="dxa"/>
        <w:tblBorders>
          <w:top w:val="single" w:sz="3" w:color="C8D6DE"/>
          <w:left w:val="single" w:sz="3" w:color="C8D6DE"/>
          <w:bottom w:val="single" w:sz="3" w:color="C8D6DE"/>
          <w:right w:val="single" w:sz="3" w:color="C8D6DE"/>
          <w:insideH w:val="single" w:sz="3" w:color="C8D6DE"/>
          <w:insideV w:val="single" w:sz="3" w:color="C8D6DE"/>
        </w:tblBorders>
        <w:tblCellMar>
          <w:top w:w="85" w:type="dxa"/>
          <w:left w:w="90" w:type="dxa"/>
          <w:bottom w:w="85" w:type="dxa"/>
          <w:right w:w="90" w:type="dxa"/>
        </w:tblCellMar>
      </w:tblPr>
      <w:tblGrid>
        <w:gridCol w:w="3066"/>
        <w:gridCol w:w="3066"/>
        <w:gridCol w:w="3066"/>
      </w:tblGrid>
      <w:tr>
        <w:tc>
          <w:tcPr>
            <w:tcW w:w="3066" w:type="dxa"/>
            <w:shd w:fill="E9F1F5"/>
          </w:tcPr>
          <w:p>
            <w:pPr>
              <w:spacing w:after="60"/>
              <w:rPr>
                <w:sz w:val="17"/>
              </w:rPr>
            </w:pPr>
            <w:r>
              <w:t xml:space="preserve">ID</w:t>
            </w:r>
          </w:p>
        </w:tc>
        <w:tc>
          <w:tcPr>
            <w:tcW w:w="3066" w:type="dxa"/>
            <w:shd w:fill="E9F1F5"/>
          </w:tcPr>
          <w:p>
            <w:pPr>
              <w:spacing w:after="60"/>
              <w:rPr>
                <w:sz w:val="17"/>
              </w:rPr>
            </w:pPr>
            <w:r>
              <w:t xml:space="preserve">Initiator to recipient</w:t>
            </w:r>
          </w:p>
        </w:tc>
        <w:tc>
          <w:tcPr>
            <w:tcW w:w="3066" w:type="dxa"/>
            <w:shd w:fill="E9F1F5"/>
          </w:tcPr>
          <w:p>
            <w:pPr>
              <w:spacing w:after="60"/>
              <w:rPr>
                <w:sz w:val="17"/>
              </w:rPr>
            </w:pPr>
            <w:r>
              <w:t xml:space="preserve">Purpose / protocol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1.9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Notification component to mail provider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Email notifications; SMTP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1.11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Business requester to portal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Create/edit/search/view; HTTPS sync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1.12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Data manager to portal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Review and assign; HTTPS sync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1.13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Business partner to portal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Coordinate/approve; HTTPS sync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1.14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Data engineer to portal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Take/fulfil tasks; HTTPS sync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1.15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Monitoring to platform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Request health/metrics; HTTPS sync</w:t>
            </w:r>
          </w:p>
        </w:tc>
      </w:tr>
    </w:tbl>
    <w:p>
      <w:pPr>
        <w:pStyle w:val="Heading1"/>
        <w:spacing w:after="160"/>
      </w:pPr>
      <w:r>
        <w:t xml:space="preserve">5. Internal interactions (source structure 2.x)</w:t>
      </w:r>
    </w:p>
    <w:tbl>
      <w:tblPr>
        <w:tblW w:w="9200" w:type="dxa"/>
        <w:tblBorders>
          <w:top w:val="single" w:sz="3" w:color="C8D6DE"/>
          <w:left w:val="single" w:sz="3" w:color="C8D6DE"/>
          <w:bottom w:val="single" w:sz="3" w:color="C8D6DE"/>
          <w:right w:val="single" w:sz="3" w:color="C8D6DE"/>
          <w:insideH w:val="single" w:sz="3" w:color="C8D6DE"/>
          <w:insideV w:val="single" w:sz="3" w:color="C8D6DE"/>
        </w:tblBorders>
        <w:tblCellMar>
          <w:top w:w="85" w:type="dxa"/>
          <w:left w:w="90" w:type="dxa"/>
          <w:bottom w:w="85" w:type="dxa"/>
          <w:right w:w="90" w:type="dxa"/>
        </w:tblCellMar>
      </w:tblPr>
      <w:tblGrid>
        <w:gridCol w:w="3066"/>
        <w:gridCol w:w="3066"/>
        <w:gridCol w:w="3066"/>
      </w:tblGrid>
      <w:tr>
        <w:tc>
          <w:tcPr>
            <w:tcW w:w="3066" w:type="dxa"/>
            <w:shd w:fill="E9F1F5"/>
          </w:tcPr>
          <w:p>
            <w:pPr>
              <w:spacing w:after="60"/>
              <w:rPr>
                <w:sz w:val="17"/>
              </w:rPr>
            </w:pPr>
            <w:r>
              <w:t xml:space="preserve">ID</w:t>
            </w:r>
          </w:p>
        </w:tc>
        <w:tc>
          <w:tcPr>
            <w:tcW w:w="3066" w:type="dxa"/>
            <w:shd w:fill="E9F1F5"/>
          </w:tcPr>
          <w:p>
            <w:pPr>
              <w:spacing w:after="60"/>
              <w:rPr>
                <w:sz w:val="17"/>
              </w:rPr>
            </w:pPr>
            <w:r>
              <w:t xml:space="preserve">Source to target</w:t>
            </w:r>
          </w:p>
        </w:tc>
        <w:tc>
          <w:tcPr>
            <w:tcW w:w="3066" w:type="dxa"/>
            <w:shd w:fill="E9F1F5"/>
          </w:tcPr>
          <w:p>
            <w:pPr>
              <w:spacing w:after="60"/>
              <w:rPr>
                <w:sz w:val="17"/>
              </w:rPr>
            </w:pPr>
            <w:r>
              <w:t xml:space="preserve">Purpose / interface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2.1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Authenticated user to ingress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HTTPS client ingress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2.2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Ingress to web frontend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Serve frontend resources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2.4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Domain services to database cluster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Transactional data access over secured DB channel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2.5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Ingress to API Gateway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Route API commands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2.6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API Gateway to Request Service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Create / edit / search request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2.7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Service layer to monitoring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Metrics and auditable events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2.8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Gateway to Authorization Service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Fetch caller permissions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2.9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Request/notification services to Authorization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Check operation permission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2.10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Request Service to Notification Service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Prepare notification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2.11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Services to centralized audit system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Submit audit information</w:t>
            </w:r>
          </w:p>
        </w:tc>
      </w:tr>
    </w:tbl>
    <w:p>
      <w:pPr>
        <w:pStyle w:val="Heading1"/>
        <w:spacing w:after="160"/>
      </w:pPr>
      <w:r>
        <w:t xml:space="preserve">6. Design review and decisions</w:t>
      </w:r>
    </w:p>
    <w:p>
      <w:pPr>
        <w:pStyle w:val="Normal"/>
        <w:spacing w:after="80"/>
      </w:pPr>
      <w:r>
        <w:t xml:space="preserve">- Clarify service ownership of application status, concurrency and immutable audit.</w:t>
      </w:r>
    </w:p>
    <w:p>
      <w:pPr>
        <w:pStyle w:val="Normal"/>
        <w:spacing w:after="80"/>
      </w:pPr>
      <w:r>
        <w:t xml:space="preserve">- Enforce role-based authorization on server rather than UI only.</w:t>
      </w:r>
    </w:p>
    <w:p>
      <w:pPr>
        <w:pStyle w:val="Normal"/>
        <w:spacing w:after="80"/>
      </w:pPr>
      <w:r>
        <w:t xml:space="preserve">- Classify notification failure independently from application approval outcome.</w:t>
      </w:r>
    </w:p>
    <w:p>
      <w:pPr>
        <w:pStyle w:val="Normal"/>
        <w:spacing w:after="80"/>
      </w:pPr>
      <w:r>
        <w:t xml:space="preserve">- Define request idempotency, duplicate prevention, timeout and recovery contracts.</w:t>
      </w:r>
    </w:p>
    <w:p>
      <w:pPr>
        <w:pStyle w:val="Normal"/>
        <w:spacing w:after="80"/>
      </w:pPr>
      <w:r>
        <w:t xml:space="preserve">- Record real SLO targets, network access, encryption and data retention before production.</w:t>
      </w:r>
    </w:p>
    <w:p>
      <w:pPr>
        <w:pStyle w:val="Heading1"/>
        <w:spacing w:after="160"/>
      </w:pPr>
      <w:r>
        <w:t xml:space="preserve">7. Linked editable diagrams</w:t>
      </w:r>
    </w:p>
    <w:p>
      <w:pPr>
        <w:pStyle w:val="Normal"/>
        <w:spacing w:after="80"/>
      </w:pPr>
      <w:r>
        <w:t xml:space="preserve">Download and edit requests-architecture.drawio in diagrams.net. It contains four pages: Use Cases, Context, Components and Containers. The original site has a companion Markdown case and diagram catalogue.</w:t>
      </w:r>
    </w:p>
    <w:p>
      <w:pPr>
        <w:pStyle w:val="Normal"/>
        <w:spacing w:after="80"/>
      </w:pPr>
      <w:r>
        <w:t xml:space="preserve">Full project references and CC BY 4.0 terms: https://sergeibudnik.github.io/architecture-analysis-hub/docs/license</w:t>
      </w:r>
    </w:p>
    <w:sectPr>
      <w:pgSz w:w="11906" w:h="16838"/>
      <w:pgMar w:top="950" w:right="1050" w:bottom="950" w:left="105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</w:rPr>
    </w:rPrDefault>
  </w:docDefaults>
  <w:style w:type="paragraph" w:styleId="Normal" w:default="1">
    <w:name w:val="Normal"/>
  </w:style>
  <w:style w:type="paragraph" w:styleId="Title">
    <w:name w:val="Title"/>
    <w:rPr>
      <w:b/>
      <w:color w:val="17465A"/>
      <w:sz w:val="34"/>
    </w:rPr>
  </w:style>
  <w:style w:type="paragraph" w:styleId="Subtitle">
    <w:name w:val="Subtitle"/>
    <w:rPr>
      <w:i/>
      <w:color w:val="687F8B"/>
      <w:sz w:val="18"/>
    </w:rPr>
  </w:style>
  <w:style w:type="paragraph" w:styleId="Heading1">
    <w:name w:val="heading 1"/>
    <w:basedOn w:val="Normal"/>
    <w:pPr>
      <w:keepNext/>
      <w:spacing w:before="240" w:after="110"/>
    </w:pPr>
    <w:rPr>
      <w:b/>
      <w:color w:val="17465A"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Sergei Budnik</dc:creator>
  <dc:title>Public Editable HLD Reference</dc:title>
  <dc:description>Sanitized educational adaptation of privately authored architecture templates</dc:description>
  <dcterms:created xsi:type="dcterms:W3CDTF">2026-10-17T00:00:00Z</dcterms:created>
</cp:coreProperties>
</file>