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HLD: Service Booking Platform</w:t>
      </w:r>
    </w:p>
    <w:p>
      <w:pPr>
        <w:pStyle w:val="Subtitle"/>
        <w:spacing w:after="80"/>
      </w:pPr>
      <w:r>
        <w:t xml:space="preserve">Author: Sergei Budnik | Public educational adaptation (2026) | Source: HIGH _LEVEL_ARCITECTURE_EXAMPLE_2.docx</w:t>
      </w:r>
    </w:p>
    <w:p>
      <w:pPr>
        <w:pStyle w:val="Normal"/>
        <w:spacing w:after="80"/>
      </w:pPr>
      <w:r>
        <w:t xml:space="preserve">This is an anonymized, editable Word-compatible public edition. The full private source, company identifiers, production deployment parameters and embedded original diagrams are not reproduced.</w:t>
      </w:r>
    </w:p>
    <w:p>
      <w:pPr>
        <w:pStyle w:val="Heading1"/>
        <w:spacing w:after="160"/>
      </w:pPr>
      <w:r>
        <w:t xml:space="preserve">1. Business context and use cases</w:t>
      </w:r>
    </w:p>
    <w:p>
      <w:pPr>
        <w:pStyle w:val="Normal"/>
        <w:spacing w:after="80"/>
      </w:pPr>
      <w:r>
        <w:t xml:space="preserve">Service booking and customer onboarding platform. The original HLD covers customer personal account, CRM, session management portal, API gateway, domain services, notifications, message broker, external acquiring provider, and database integrations.</w:t>
      </w:r>
    </w:p>
    <w:p>
      <w:pPr>
        <w:pStyle w:val="Normal"/>
        <w:spacing w:after="80"/>
      </w:pPr>
      <w:r>
        <w:t xml:space="preserve">- Customer: manage service purchase requests, profile, mentor/session selection and booking.</w:t>
      </w:r>
    </w:p>
    <w:p>
      <w:pPr>
        <w:pStyle w:val="Normal"/>
        <w:spacing w:after="80"/>
      </w:pPr>
      <w:r>
        <w:t xml:space="preserve">- Guide or operator: manage sessions, session requests and customer engagement.</w:t>
      </w:r>
    </w:p>
    <w:p>
      <w:pPr>
        <w:pStyle w:val="Normal"/>
        <w:spacing w:after="80"/>
      </w:pPr>
      <w:r>
        <w:t xml:space="preserve">- Sales representative: create and update service orders; coordinate customer records.</w:t>
      </w:r>
    </w:p>
    <w:p>
      <w:pPr>
        <w:pStyle w:val="Normal"/>
        <w:spacing w:after="80"/>
      </w:pPr>
      <w:r>
        <w:t xml:space="preserve">- Domain processes: booking, service order, payment initiation, notification and conferencing link.</w:t>
      </w:r>
    </w:p>
    <w:p>
      <w:pPr>
        <w:pStyle w:val="Heading1"/>
        <w:spacing w:after="160"/>
      </w:pPr>
      <w:r>
        <w:t xml:space="preserve">2. Context and system boundaries</w:t>
      </w:r>
    </w:p>
    <w:p>
      <w:pPr>
        <w:pStyle w:val="Normal"/>
        <w:spacing w:after="80"/>
      </w:pPr>
      <w:r>
        <w:t xml:space="preserve">Three distinct user-facing channels connect through ingress/API Gateway. The platform integrates with an external payment provider and a conferencing service. Notification requests use a message broker for asynchronous delivery.</w:t>
      </w:r>
    </w:p>
    <w:p>
      <w:pPr>
        <w:pStyle w:val="Normal"/>
        <w:spacing w:after="80"/>
      </w:pPr>
      <w:r>
        <w:t xml:space="preserve">- Customer Portal, CRM Portal and Operations Portal are separate web clients.</w:t>
      </w:r>
    </w:p>
    <w:p>
      <w:pPr>
        <w:pStyle w:val="Normal"/>
        <w:spacing w:after="80"/>
      </w:pPr>
      <w:r>
        <w:t xml:space="preserve">- Gateway performs authentication, routing and common request checks.</w:t>
      </w:r>
    </w:p>
    <w:p>
      <w:pPr>
        <w:pStyle w:val="Normal"/>
        <w:spacing w:after="80"/>
      </w:pPr>
      <w:r>
        <w:t xml:space="preserve">- User, Order, Session, Authorization and Notification services have distinct responsibilities.</w:t>
      </w:r>
    </w:p>
    <w:p>
      <w:pPr>
        <w:pStyle w:val="Normal"/>
        <w:spacing w:after="80"/>
      </w:pPr>
      <w:r>
        <w:t xml:space="preserve">- Payments are initiated through provider-controlled interfaces and finalized by verified status, not browser redirect.</w:t>
      </w:r>
    </w:p>
    <w:p>
      <w:pPr>
        <w:pStyle w:val="Heading1"/>
        <w:spacing w:after="160"/>
      </w:pPr>
      <w:r>
        <w:t xml:space="preserve">3. Component catalogue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Component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Responsibility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Technology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Customer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Sessions, sales requests, user information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ReactJS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CRM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Sales requests, user details, CRM workflows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ReactJS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Operations Portal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creation and updates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ReactJS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API Gateway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Central routing and request checks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Spring Cloud Gateway / Java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User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Create, read and update customer records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Order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Orders for purchased services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slots and link lifecycle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Authorization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Role model and operation permission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Prepare email events and send through provider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Java / Spring Boot</w:t>
            </w:r>
          </w:p>
        </w:tc>
      </w:tr>
    </w:tbl>
    <w:p>
      <w:pPr>
        <w:pStyle w:val="Heading1"/>
        <w:spacing w:after="160"/>
      </w:pPr>
      <w:r>
        <w:t xml:space="preserve">4. External interactions (source structure 1.x)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ID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Origin to destination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Purpose / protocol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1.10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 worker to email system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SMTP user notifications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Customer client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Account/service orders/sessions,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1.12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Operator client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administration,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1.13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Guide client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administration,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1.14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Guide CRM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Sales requests and user data,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1.15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Sales CRM to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Sales requests and user data, HTTPS sync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1.16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Platform to external payment provider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Payment initiation and result, HTTPS / async status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1.17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Platform to message broker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Email/payment lifecycle events, async</w:t>
            </w:r>
          </w:p>
        </w:tc>
      </w:tr>
    </w:tbl>
    <w:p>
      <w:pPr>
        <w:pStyle w:val="Heading1"/>
        <w:spacing w:after="160"/>
      </w:pPr>
      <w:r>
        <w:t xml:space="preserve">5. Internal interactions (source structure 2.x)</w:t>
      </w:r>
    </w:p>
    <w:tbl>
      <w:tblPr>
        <w:tblW w:w="9200" w:type="dxa"/>
        <w:tblBorders>
          <w:top w:val="single" w:sz="3" w:color="C8D6DE"/>
          <w:left w:val="single" w:sz="3" w:color="C8D6DE"/>
          <w:bottom w:val="single" w:sz="3" w:color="C8D6DE"/>
          <w:right w:val="single" w:sz="3" w:color="C8D6DE"/>
          <w:insideH w:val="single" w:sz="3" w:color="C8D6DE"/>
          <w:insideV w:val="single" w:sz="3" w:color="C8D6DE"/>
        </w:tblBorders>
        <w:tblCellMar>
          <w:top w:w="85" w:type="dxa"/>
          <w:left w:w="90" w:type="dxa"/>
          <w:bottom w:w="85" w:type="dxa"/>
          <w:right w:w="90" w:type="dxa"/>
        </w:tblCellMar>
      </w:tblPr>
      <w:tblGrid>
        <w:gridCol w:w="3066"/>
        <w:gridCol w:w="3066"/>
        <w:gridCol w:w="3066"/>
      </w:tblGrid>
      <w:tr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ID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From -&gt; To</w:t>
            </w:r>
          </w:p>
        </w:tc>
        <w:tc>
          <w:tcPr>
            <w:tcW w:w="3066" w:type="dxa"/>
            <w:shd w:fill="E9F1F5"/>
          </w:tcPr>
          <w:p>
            <w:pPr>
              <w:spacing w:after="60"/>
              <w:rPr>
                <w:sz w:val="17"/>
              </w:rPr>
            </w:pPr>
            <w:r>
              <w:t xml:space="preserve">Purpose / mechanism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Web portals -&gt; ingress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HTTPS authenticated requests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2.2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Ingress -&gt; API Gateway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API request routing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2.3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-&gt; Session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Session create/update/delete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2.4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-&gt; User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User create/read/update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2.5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Domain services -&gt; DB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Durable domain persistence, TLS-protected DB driver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2.6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-&gt; Order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Service orders and sales requests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2.7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-&gt; Notification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 lookup / management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2.8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Gateway -&gt; Authorization Service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Available user permissions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2.9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Domain services -&gt; Authorization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Permission check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2.10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Order/Session -&gt; Notification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Generate email request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2.11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Notification/Order -&gt; Message Broker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Asynchronous AMQP event</w:t>
            </w:r>
          </w:p>
        </w:tc>
      </w:tr>
      <w:tr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2.12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Services -&gt; centralized audit pipeline</w:t>
            </w:r>
          </w:p>
        </w:tc>
        <w:tc>
          <w:tcPr>
            <w:tcW w:w="3066" w:type="dxa"/>
          </w:tcPr>
          <w:p>
            <w:pPr>
              <w:spacing w:after="60"/>
              <w:rPr>
                <w:sz w:val="17"/>
              </w:rPr>
            </w:pPr>
            <w:r>
              <w:t xml:space="preserve">Audit trail / telemetry</w:t>
            </w:r>
          </w:p>
        </w:tc>
      </w:tr>
    </w:tbl>
    <w:p>
      <w:pPr>
        <w:pStyle w:val="Heading1"/>
        <w:spacing w:after="160"/>
      </w:pPr>
      <w:r>
        <w:t xml:space="preserve">6. Special operational scenarios</w:t>
      </w:r>
    </w:p>
    <w:p>
      <w:pPr>
        <w:pStyle w:val="Normal"/>
        <w:spacing w:after="80"/>
      </w:pPr>
      <w:r>
        <w:t xml:space="preserve">- Session slot URL is valid only within its assigned session and expires under defined rules; do not treat URL as permanent.</w:t>
      </w:r>
    </w:p>
    <w:p>
      <w:pPr>
        <w:pStyle w:val="Normal"/>
        <w:spacing w:after="80"/>
      </w:pPr>
      <w:r>
        <w:t xml:space="preserve">- CRM may be a commercial external solution: adjust ownership/trust boundary accordingly.</w:t>
      </w:r>
    </w:p>
    <w:p>
      <w:pPr>
        <w:pStyle w:val="Normal"/>
        <w:spacing w:after="80"/>
      </w:pPr>
      <w:r>
        <w:t xml:space="preserve">- Create payment attempt and order as separate records; confirm outcome through provider callback/inquiry.</w:t>
      </w:r>
    </w:p>
    <w:p>
      <w:pPr>
        <w:pStyle w:val="Normal"/>
        <w:spacing w:after="80"/>
      </w:pPr>
      <w:r>
        <w:t xml:space="preserve">- Use outbox/inbox/consumer dedupe for asynchronous notification processing.</w:t>
      </w:r>
    </w:p>
    <w:p>
      <w:pPr>
        <w:pStyle w:val="Normal"/>
        <w:spacing w:after="80"/>
      </w:pPr>
      <w:r>
        <w:t xml:space="preserve">- Protect against double-booking and define authoritative slot and order state owners.</w:t>
      </w:r>
    </w:p>
    <w:p>
      <w:pPr>
        <w:pStyle w:val="Heading1"/>
        <w:spacing w:after="160"/>
      </w:pPr>
      <w:r>
        <w:t xml:space="preserve">7. Editable diagrams</w:t>
      </w:r>
    </w:p>
    <w:p>
      <w:pPr>
        <w:pStyle w:val="Normal"/>
        <w:spacing w:after="80"/>
      </w:pPr>
      <w:r>
        <w:t xml:space="preserve">Download onboarding-architecture.drawio from the hub. Three pages: Use Cases, Components and Containers. All service names and interfaces have been generalized.</w:t>
      </w:r>
    </w:p>
    <w:p>
      <w:pPr>
        <w:pStyle w:val="Normal"/>
        <w:spacing w:after="80"/>
      </w:pPr>
      <w:r>
        <w:t xml:space="preserve">Full project references and CC BY 4.0 terms: https://sergeibudnik.github.io/architecture-analysis-hub/docs/license</w:t>
      </w:r>
    </w:p>
    <w:sectPr>
      <w:pgSz w:w="11906" w:h="16838"/>
      <w:pgMar w:top="950" w:right="1050" w:bottom="950" w:left="105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styleId="Normal" w:default="1">
    <w:name w:val="Normal"/>
  </w:style>
  <w:style w:type="paragraph" w:styleId="Title">
    <w:name w:val="Title"/>
    <w:rPr>
      <w:b/>
      <w:color w:val="17465A"/>
      <w:sz w:val="34"/>
    </w:rPr>
  </w:style>
  <w:style w:type="paragraph" w:styleId="Subtitle">
    <w:name w:val="Subtitle"/>
    <w:rPr>
      <w:i/>
      <w:color w:val="687F8B"/>
      <w:sz w:val="18"/>
    </w:rPr>
  </w:style>
  <w:style w:type="paragraph" w:styleId="Heading1">
    <w:name w:val="heading 1"/>
    <w:basedOn w:val="Normal"/>
    <w:pPr>
      <w:keepNext/>
      <w:spacing w:before="240" w:after="110"/>
    </w:pPr>
    <w:rPr>
      <w:b/>
      <w:color w:val="17465A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Sergei Budnik</dc:creator>
  <dc:title>Public Editable HLD Reference</dc:title>
  <dc:description>Sanitized educational adaptation of privately authored architecture templates</dc:description>
  <dcterms:created xsi:type="dcterms:W3CDTF">2026-10-17T00:00:00Z</dcterms:created>
</cp:coreProperties>
</file>