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4014" w14:textId="77777777" w:rsidR="002517DC" w:rsidRDefault="002517DC" w:rsidP="002517DC">
      <w:pPr>
        <w:pStyle w:val="ac"/>
        <w:tabs>
          <w:tab w:val="left" w:pos="1418"/>
        </w:tabs>
        <w:ind w:left="1418" w:right="1982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BE3DE6" wp14:editId="4C599598">
            <wp:simplePos x="0" y="0"/>
            <wp:positionH relativeFrom="column">
              <wp:posOffset>-726440</wp:posOffset>
            </wp:positionH>
            <wp:positionV relativeFrom="paragraph">
              <wp:posOffset>-215265</wp:posOffset>
            </wp:positionV>
            <wp:extent cx="1000125" cy="1402080"/>
            <wp:effectExtent l="0" t="0" r="0" b="0"/>
            <wp:wrapNone/>
            <wp:docPr id="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001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Автономная некоммерческая образовательная организация высшего образования Центросоюза Российской Федерации</w:t>
      </w:r>
    </w:p>
    <w:p w14:paraId="60F01535" w14:textId="77777777" w:rsidR="002517DC" w:rsidRDefault="002517DC" w:rsidP="002517DC">
      <w:pPr>
        <w:pStyle w:val="ac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СИБИРСКИЙ УНИВЕРСИТЕТ ПОТРЕБИТЕЛЬСКОЙ КООПЕРАЦИИ</w:t>
      </w:r>
    </w:p>
    <w:p w14:paraId="756A7934" w14:textId="77777777" w:rsidR="002517DC" w:rsidRDefault="002517DC" w:rsidP="002517DC">
      <w:pPr>
        <w:pStyle w:val="ac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информатики</w:t>
      </w:r>
    </w:p>
    <w:p w14:paraId="19C8A4BE" w14:textId="26806151" w:rsidR="00B654A1" w:rsidRP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ОТЧЕТ О</w:t>
      </w:r>
      <w:r w:rsidR="00841B08">
        <w:rPr>
          <w:b/>
          <w:szCs w:val="28"/>
        </w:rPr>
        <w:t xml:space="preserve"> ПРОХОЖДЕНИИ</w:t>
      </w:r>
      <w:r w:rsidRPr="00B654A1">
        <w:rPr>
          <w:b/>
          <w:szCs w:val="28"/>
        </w:rPr>
        <w:t xml:space="preserve"> ТЕХНОЛОГИЧЕСКОЙ </w:t>
      </w:r>
    </w:p>
    <w:p w14:paraId="4164C7B1" w14:textId="09A39A12" w:rsid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(ПРОЕКТНО-ТЕХНОЛОГИЧЕСКОЙ) ПРАКТИК</w:t>
      </w:r>
      <w:r w:rsidR="00841B08">
        <w:rPr>
          <w:b/>
          <w:szCs w:val="28"/>
        </w:rPr>
        <w:t>И</w:t>
      </w:r>
    </w:p>
    <w:p w14:paraId="6593467C" w14:textId="77777777" w:rsidR="00B654A1" w:rsidRPr="00B654A1" w:rsidRDefault="00B654A1" w:rsidP="00B654A1">
      <w:pPr>
        <w:jc w:val="center"/>
        <w:rPr>
          <w:b/>
          <w:szCs w:val="28"/>
        </w:rPr>
      </w:pPr>
    </w:p>
    <w:p w14:paraId="1A1298A5" w14:textId="479567A2" w:rsidR="00B654A1" w:rsidRPr="00772B21" w:rsidRDefault="00B654A1" w:rsidP="00B654A1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jc w:val="center"/>
        <w:textAlignment w:val="baseline"/>
        <w:rPr>
          <w:bCs/>
          <w:szCs w:val="28"/>
        </w:rPr>
      </w:pPr>
      <w:r w:rsidRPr="00772B21">
        <w:rPr>
          <w:bCs/>
          <w:szCs w:val="28"/>
        </w:rPr>
        <w:t xml:space="preserve">Место прохождения практики: </w:t>
      </w:r>
      <w:r w:rsidR="00772B21" w:rsidRPr="00772B21">
        <w:rPr>
          <w:bCs/>
          <w:i/>
          <w:iCs/>
          <w:szCs w:val="28"/>
        </w:rPr>
        <w:t>А</w:t>
      </w:r>
      <w:r w:rsidR="00AA4878">
        <w:rPr>
          <w:bCs/>
          <w:i/>
          <w:iCs/>
          <w:szCs w:val="28"/>
        </w:rPr>
        <w:t>кционерное общество</w:t>
      </w:r>
      <w:r w:rsidR="00772B21" w:rsidRPr="00772B21">
        <w:rPr>
          <w:bCs/>
          <w:i/>
          <w:iCs/>
          <w:szCs w:val="28"/>
        </w:rPr>
        <w:t xml:space="preserve"> </w:t>
      </w:r>
      <w:r w:rsidR="00772B21" w:rsidRPr="00772B21">
        <w:rPr>
          <w:i/>
          <w:iCs/>
          <w:szCs w:val="28"/>
        </w:rPr>
        <w:t>«</w:t>
      </w:r>
      <w:r w:rsidR="00AC2B87" w:rsidRPr="00772B21">
        <w:rPr>
          <w:bCs/>
          <w:i/>
          <w:iCs/>
          <w:szCs w:val="28"/>
        </w:rPr>
        <w:t>ТИОН Умный микроклима</w:t>
      </w:r>
      <w:r w:rsidR="00772B21" w:rsidRPr="00772B21">
        <w:rPr>
          <w:bCs/>
          <w:i/>
          <w:iCs/>
          <w:szCs w:val="28"/>
        </w:rPr>
        <w:t>т»</w:t>
      </w:r>
    </w:p>
    <w:p w14:paraId="3A2EBACF" w14:textId="77777777" w:rsidR="00B654A1" w:rsidRDefault="00B654A1" w:rsidP="002517DC">
      <w:pPr>
        <w:pStyle w:val="ac"/>
        <w:ind w:left="1418" w:right="1982"/>
        <w:rPr>
          <w:rFonts w:cs="Times New Roman"/>
          <w:szCs w:val="28"/>
        </w:rPr>
      </w:pPr>
    </w:p>
    <w:p w14:paraId="1F92E3AF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Студента </w:t>
      </w:r>
      <w:r w:rsidRPr="00E855F0">
        <w:rPr>
          <w:sz w:val="24"/>
          <w:szCs w:val="24"/>
          <w:lang w:eastAsia="ru-RU"/>
        </w:rPr>
        <w:t>очной</w:t>
      </w:r>
      <w:r w:rsidRPr="00B654A1">
        <w:rPr>
          <w:sz w:val="24"/>
          <w:szCs w:val="24"/>
          <w:lang w:eastAsia="ru-RU"/>
        </w:rPr>
        <w:t xml:space="preserve"> формы обучения</w:t>
      </w:r>
    </w:p>
    <w:p w14:paraId="6135730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5A8AFE8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Факультета </w:t>
      </w:r>
      <w:r w:rsidRPr="00E855F0">
        <w:rPr>
          <w:sz w:val="24"/>
          <w:szCs w:val="24"/>
          <w:lang w:eastAsia="ru-RU"/>
        </w:rPr>
        <w:t>Экономики и управления</w:t>
      </w:r>
    </w:p>
    <w:p w14:paraId="21536E3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8B80069" w14:textId="77777777" w:rsidR="00B654A1" w:rsidRPr="00B654A1" w:rsidRDefault="00B654A1" w:rsidP="00B654A1">
      <w:pPr>
        <w:ind w:left="4536"/>
        <w:jc w:val="right"/>
        <w:rPr>
          <w:i/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Специальности </w:t>
      </w:r>
      <w:r w:rsidRPr="00E855F0">
        <w:rPr>
          <w:i/>
          <w:sz w:val="24"/>
          <w:szCs w:val="24"/>
          <w:lang w:eastAsia="ru-RU"/>
        </w:rPr>
        <w:t>09.03.03 Прикладная информатика</w:t>
      </w:r>
      <w:r w:rsidRPr="00B654A1">
        <w:rPr>
          <w:i/>
          <w:sz w:val="24"/>
          <w:szCs w:val="24"/>
          <w:u w:val="single"/>
          <w:lang w:eastAsia="ru-RU"/>
        </w:rPr>
        <w:t xml:space="preserve"> </w:t>
      </w:r>
    </w:p>
    <w:p w14:paraId="65F47A1C" w14:textId="77777777" w:rsidR="00B654A1" w:rsidRPr="00B654A1" w:rsidRDefault="00B654A1" w:rsidP="00B654A1">
      <w:pPr>
        <w:ind w:left="4536"/>
        <w:jc w:val="right"/>
        <w:rPr>
          <w:sz w:val="24"/>
          <w:szCs w:val="24"/>
          <w:lang w:eastAsia="ru-RU"/>
        </w:rPr>
      </w:pPr>
    </w:p>
    <w:p w14:paraId="6EFD6653" w14:textId="30A8C594" w:rsidR="00B654A1" w:rsidRP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4 </w:t>
      </w:r>
      <w:proofErr w:type="gramStart"/>
      <w:r w:rsidRPr="00E855F0">
        <w:rPr>
          <w:sz w:val="24"/>
          <w:szCs w:val="24"/>
          <w:lang w:eastAsia="ru-RU"/>
        </w:rPr>
        <w:t>курса,  группы</w:t>
      </w:r>
      <w:proofErr w:type="gramEnd"/>
      <w:r w:rsidRPr="00E855F0">
        <w:rPr>
          <w:sz w:val="24"/>
          <w:szCs w:val="24"/>
          <w:lang w:eastAsia="ru-RU"/>
        </w:rPr>
        <w:t xml:space="preserve"> ПИБ-11 </w:t>
      </w:r>
    </w:p>
    <w:p w14:paraId="0A4B7C6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</w:p>
    <w:p w14:paraId="0CF07E2C" w14:textId="77777777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i/>
          <w:iCs/>
          <w:sz w:val="24"/>
          <w:szCs w:val="24"/>
          <w:lang w:eastAsia="ru-RU"/>
        </w:rPr>
        <w:t>Колесников Сергей Андреевич</w:t>
      </w:r>
    </w:p>
    <w:p w14:paraId="05E5100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3FA3849A" w14:textId="1B26897E" w:rsidR="00B654A1" w:rsidRDefault="00B654A1" w:rsidP="00B654A1">
      <w:pPr>
        <w:ind w:firstLine="4536"/>
        <w:jc w:val="right"/>
        <w:rPr>
          <w:i/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Руководитель практики </w:t>
      </w:r>
    </w:p>
    <w:p w14:paraId="21FFD052" w14:textId="7472A4AA" w:rsidR="003C470E" w:rsidRPr="00E855F0" w:rsidRDefault="003C470E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i/>
          <w:sz w:val="24"/>
          <w:szCs w:val="24"/>
          <w:lang w:eastAsia="ru-RU"/>
        </w:rPr>
        <w:t>преподаватель(практик)</w:t>
      </w:r>
    </w:p>
    <w:p w14:paraId="7F22DA8C" w14:textId="71B1CD14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                            </w:t>
      </w:r>
      <w:r w:rsidR="003C470E" w:rsidRPr="00E855F0">
        <w:rPr>
          <w:i/>
          <w:iCs/>
          <w:sz w:val="24"/>
          <w:szCs w:val="24"/>
          <w:lang w:eastAsia="ru-RU"/>
        </w:rPr>
        <w:t>Бло</w:t>
      </w:r>
      <w:r w:rsidR="00B676DD" w:rsidRPr="00E855F0">
        <w:rPr>
          <w:i/>
          <w:iCs/>
          <w:sz w:val="24"/>
          <w:szCs w:val="24"/>
          <w:lang w:eastAsia="ru-RU"/>
        </w:rPr>
        <w:t>к Иван Николаевич</w:t>
      </w:r>
      <w:r w:rsidRPr="00E855F0">
        <w:rPr>
          <w:i/>
          <w:iCs/>
          <w:sz w:val="24"/>
          <w:szCs w:val="24"/>
          <w:lang w:eastAsia="ru-RU"/>
        </w:rPr>
        <w:t xml:space="preserve"> </w:t>
      </w:r>
    </w:p>
    <w:p w14:paraId="3271CDBC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7A784E1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Оценка после защиты</w:t>
      </w:r>
    </w:p>
    <w:p w14:paraId="52EE6CDA" w14:textId="48023491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</w:t>
      </w:r>
    </w:p>
    <w:p w14:paraId="1E29E07A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Дата защиты</w:t>
      </w:r>
    </w:p>
    <w:p w14:paraId="1FD2D2F2" w14:textId="363162FE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____________________</w:t>
      </w:r>
    </w:p>
    <w:p w14:paraId="75F34908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1459DD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Сроки прохождения практики:</w:t>
      </w:r>
    </w:p>
    <w:p w14:paraId="36C3E93D" w14:textId="7324889B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            </w:t>
      </w:r>
      <w:proofErr w:type="gramStart"/>
      <w:r w:rsidRPr="00B654A1">
        <w:rPr>
          <w:sz w:val="24"/>
          <w:szCs w:val="24"/>
          <w:lang w:eastAsia="ru-RU"/>
        </w:rPr>
        <w:t xml:space="preserve">с  </w:t>
      </w:r>
      <w:r>
        <w:rPr>
          <w:sz w:val="24"/>
          <w:szCs w:val="24"/>
          <w:lang w:eastAsia="ru-RU"/>
        </w:rPr>
        <w:t>2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4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  <w:proofErr w:type="gramEnd"/>
      <w:r w:rsidRPr="00B654A1">
        <w:rPr>
          <w:sz w:val="24"/>
          <w:szCs w:val="24"/>
          <w:lang w:eastAsia="ru-RU"/>
        </w:rPr>
        <w:t xml:space="preserve">   </w:t>
      </w:r>
      <w:proofErr w:type="gramStart"/>
      <w:r w:rsidRPr="00B654A1">
        <w:rPr>
          <w:sz w:val="24"/>
          <w:szCs w:val="24"/>
          <w:lang w:eastAsia="ru-RU"/>
        </w:rPr>
        <w:t>по  1</w:t>
      </w:r>
      <w:r>
        <w:rPr>
          <w:sz w:val="24"/>
          <w:szCs w:val="24"/>
          <w:lang w:eastAsia="ru-RU"/>
        </w:rPr>
        <w:t>6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5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  <w:proofErr w:type="gramEnd"/>
    </w:p>
    <w:p w14:paraId="58B27114" w14:textId="77777777" w:rsidR="002517DC" w:rsidRPr="00B654A1" w:rsidRDefault="002517DC" w:rsidP="002517DC">
      <w:pPr>
        <w:pStyle w:val="ae"/>
        <w:ind w:left="0" w:right="423"/>
        <w:rPr>
          <w:rFonts w:cs="Times New Roman"/>
          <w:szCs w:val="28"/>
        </w:rPr>
      </w:pPr>
    </w:p>
    <w:p w14:paraId="109E2533" w14:textId="77777777" w:rsidR="002517DC" w:rsidRDefault="002517DC" w:rsidP="002517DC">
      <w:pPr>
        <w:jc w:val="center"/>
        <w:rPr>
          <w:szCs w:val="28"/>
        </w:rPr>
      </w:pPr>
    </w:p>
    <w:p w14:paraId="67FCEC5C" w14:textId="77777777" w:rsidR="00B654A1" w:rsidRDefault="00B654A1" w:rsidP="00E855F0">
      <w:pPr>
        <w:rPr>
          <w:szCs w:val="28"/>
        </w:rPr>
      </w:pPr>
    </w:p>
    <w:p w14:paraId="2F6C4954" w14:textId="77777777" w:rsidR="00814203" w:rsidRDefault="002517DC" w:rsidP="002517DC">
      <w:pPr>
        <w:jc w:val="center"/>
        <w:rPr>
          <w:szCs w:val="28"/>
        </w:rPr>
        <w:sectPr w:rsidR="00814203" w:rsidSect="00FF30A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Новосибирск 2025</w:t>
      </w: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626"/>
        <w:gridCol w:w="1162"/>
      </w:tblGrid>
      <w:tr w:rsidR="00772B21" w:rsidRPr="00772B21" w14:paraId="214C9D02" w14:textId="77777777" w:rsidTr="00AE434F">
        <w:trPr>
          <w:trHeight w:val="247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AE434F">
        <w:trPr>
          <w:trHeight w:val="2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D6F3036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i/>
                <w:sz w:val="16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i/>
                <w:sz w:val="16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155899A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6" w:type="dxa"/>
            <w:vAlign w:val="center"/>
          </w:tcPr>
          <w:p w14:paraId="0A2C2151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4955A9D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26" w:type="dxa"/>
            <w:vAlign w:val="center"/>
          </w:tcPr>
          <w:p w14:paraId="046EC94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13B9617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26" w:type="dxa"/>
            <w:vAlign w:val="center"/>
          </w:tcPr>
          <w:p w14:paraId="30638CA9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3D417BFF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26" w:type="dxa"/>
            <w:vAlign w:val="center"/>
          </w:tcPr>
          <w:p w14:paraId="4393851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24642F08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26" w:type="dxa"/>
            <w:vAlign w:val="center"/>
          </w:tcPr>
          <w:p w14:paraId="44D48D8C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F561242" w14:textId="77777777" w:rsidTr="00AE434F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26" w:type="dxa"/>
            <w:vAlign w:val="center"/>
          </w:tcPr>
          <w:p w14:paraId="1BDB5CEE" w14:textId="77777777" w:rsidR="00772B21" w:rsidRPr="00772B21" w:rsidRDefault="00772B21" w:rsidP="00772B21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8D6455F" w14:textId="77777777" w:rsidTr="00AE434F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0A34B098" w14:textId="77777777" w:rsidTr="00AE434F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2B21">
        <w:rPr>
          <w:rFonts w:eastAsia="Calibri"/>
          <w:i/>
          <w:sz w:val="20"/>
          <w:szCs w:val="21"/>
        </w:rPr>
        <w:t>.</w:t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47"/>
        <w:gridCol w:w="4106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03" w:type="dxa"/>
          </w:tcPr>
          <w:p w14:paraId="400688E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77777777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(не придерживался) рабочего графика и индивидуального задания, ответственно (недостаточно ответственно, неответственно) относился к поставленным задачам, последовательно (не системно)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EA6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B0C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E06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4E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>Практика оценивается (по 5-балльной шкале) _______________________________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3300C7BD" w14:textId="7A9748AF" w:rsidR="00087B46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6580851" w:history="1">
            <w:r w:rsidRPr="001F1894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7E2B" w14:textId="53CF3A88" w:rsidR="00087B46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580852" w:history="1">
            <w:r w:rsidRPr="001F1894">
              <w:rPr>
                <w:rStyle w:val="af6"/>
                <w:noProof/>
                <w:lang w:val="en-US"/>
              </w:rPr>
              <w:t>1</w:t>
            </w:r>
            <w:r w:rsidRPr="001F1894">
              <w:rPr>
                <w:rStyle w:val="af6"/>
                <w:noProof/>
              </w:rPr>
              <w:t xml:space="preserve">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0FAA" w14:textId="29A3E97A" w:rsidR="00087B46" w:rsidRDefault="00087B46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580853" w:history="1">
            <w:r w:rsidRPr="001F1894">
              <w:rPr>
                <w:rStyle w:val="af6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92CA" w14:textId="3879B0A5" w:rsidR="00087B46" w:rsidRDefault="00087B4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5BB9624E" w14:textId="77777777" w:rsidR="00DE0133" w:rsidRPr="009A135B" w:rsidRDefault="00DE0133" w:rsidP="00DE0133">
      <w:pPr>
        <w:jc w:val="center"/>
        <w:rPr>
          <w:szCs w:val="28"/>
          <w:lang w:val="en-US"/>
        </w:rPr>
      </w:pPr>
    </w:p>
    <w:p w14:paraId="1858D8E6" w14:textId="77777777" w:rsidR="00DE0133" w:rsidRDefault="00DE0133" w:rsidP="00DE0133">
      <w:pPr>
        <w:jc w:val="center"/>
        <w:rPr>
          <w:szCs w:val="28"/>
        </w:rPr>
      </w:pPr>
    </w:p>
    <w:p w14:paraId="5D1C09EA" w14:textId="77777777" w:rsidR="00DE0133" w:rsidRDefault="00DE0133" w:rsidP="00DE0133">
      <w:pPr>
        <w:jc w:val="center"/>
        <w:rPr>
          <w:szCs w:val="28"/>
        </w:rPr>
      </w:pPr>
    </w:p>
    <w:p w14:paraId="2137F89F" w14:textId="77777777" w:rsidR="00DE0133" w:rsidRDefault="00DE0133" w:rsidP="00DE0133">
      <w:pPr>
        <w:jc w:val="center"/>
        <w:rPr>
          <w:szCs w:val="28"/>
        </w:rPr>
      </w:pPr>
    </w:p>
    <w:p w14:paraId="54A21F7C" w14:textId="77777777" w:rsidR="00DE0133" w:rsidRDefault="00DE0133" w:rsidP="00DE0133">
      <w:pPr>
        <w:jc w:val="center"/>
        <w:rPr>
          <w:szCs w:val="28"/>
        </w:rPr>
      </w:pPr>
    </w:p>
    <w:p w14:paraId="64BF2746" w14:textId="77777777" w:rsidR="00DE0133" w:rsidRDefault="00DE0133" w:rsidP="00DE0133">
      <w:pPr>
        <w:jc w:val="center"/>
        <w:rPr>
          <w:szCs w:val="28"/>
        </w:rPr>
      </w:pPr>
    </w:p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0" w:name="_Toc196580851"/>
      <w:r>
        <w:lastRenderedPageBreak/>
        <w:t>ВВЕДЕНИЕ</w:t>
      </w:r>
      <w:bookmarkEnd w:id="0"/>
    </w:p>
    <w:p w14:paraId="394A996B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Целью данной технологической (проектно-технологической) практики является разработка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 xml:space="preserve">Проектирование архитектуры информационной системы, включая </w:t>
      </w:r>
      <w:proofErr w:type="spellStart"/>
      <w:r w:rsidRPr="00FF30AD">
        <w:rPr>
          <w:szCs w:val="28"/>
        </w:rPr>
        <w:t>frontend</w:t>
      </w:r>
      <w:proofErr w:type="spellEnd"/>
      <w:r w:rsidRPr="00FF30AD">
        <w:rPr>
          <w:szCs w:val="28"/>
        </w:rPr>
        <w:t xml:space="preserve"> (React.js), </w:t>
      </w:r>
      <w:proofErr w:type="spellStart"/>
      <w:r w:rsidRPr="00FF30AD">
        <w:rPr>
          <w:szCs w:val="28"/>
        </w:rPr>
        <w:t>backend</w:t>
      </w:r>
      <w:proofErr w:type="spellEnd"/>
      <w:r w:rsidRPr="00FF30AD">
        <w:rPr>
          <w:szCs w:val="28"/>
        </w:rPr>
        <w:t xml:space="preserve"> (ASP.NET Core Web API) и базу данных (</w:t>
      </w:r>
      <w:proofErr w:type="spellStart"/>
      <w:r w:rsidRPr="00FF30AD">
        <w:rPr>
          <w:szCs w:val="28"/>
        </w:rPr>
        <w:t>PostgreSQL</w:t>
      </w:r>
      <w:proofErr w:type="spellEnd"/>
      <w:r w:rsidRPr="00FF30AD">
        <w:rPr>
          <w:szCs w:val="28"/>
        </w:rPr>
        <w:t>).</w:t>
      </w:r>
    </w:p>
    <w:p w14:paraId="73DE58C0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542DAF8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Объектом исследования является процесс конфигурации продукции компании ТИОН.</w:t>
      </w:r>
    </w:p>
    <w:p w14:paraId="70D703CE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lastRenderedPageBreak/>
        <w:t xml:space="preserve">Предметом исследования является информационная система – интерактивный конфигуратор, разработанный на основе ASP.NET Core Web API, </w:t>
      </w:r>
      <w:proofErr w:type="spellStart"/>
      <w:r w:rsidRPr="00FF30AD">
        <w:rPr>
          <w:rFonts w:eastAsia="Calibri"/>
          <w:szCs w:val="28"/>
          <w14:ligatures w14:val="standardContextual"/>
        </w:rPr>
        <w:t>Entity</w:t>
      </w:r>
      <w:proofErr w:type="spellEnd"/>
      <w:r w:rsidRPr="00FF30AD">
        <w:rPr>
          <w:rFonts w:eastAsia="Calibri"/>
          <w:szCs w:val="28"/>
          <w14:ligatures w14:val="standardContextual"/>
        </w:rPr>
        <w:t xml:space="preserve"> Framework Core, </w:t>
      </w:r>
      <w:proofErr w:type="spellStart"/>
      <w:r w:rsidRPr="00FF30AD">
        <w:rPr>
          <w:rFonts w:eastAsia="Calibri"/>
          <w:szCs w:val="28"/>
          <w14:ligatures w14:val="standardContextual"/>
        </w:rPr>
        <w:t>PostgreSQL</w:t>
      </w:r>
      <w:proofErr w:type="spellEnd"/>
      <w:r w:rsidRPr="00FF30AD">
        <w:rPr>
          <w:rFonts w:eastAsia="Calibri"/>
          <w:szCs w:val="28"/>
          <w14:ligatures w14:val="standardContextual"/>
        </w:rPr>
        <w:t xml:space="preserve"> и React.js.</w:t>
      </w:r>
    </w:p>
    <w:p w14:paraId="03B9DA05" w14:textId="77777777" w:rsidR="00FF30AD" w:rsidRPr="00F3509E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Данный отчет содержит описание деятельности компании ТИОН, обоснование выбора инструментальных средств разработки, описание процесса проектирования и разработки интерактивного конфигуратора, а также результаты тестирования и выводы по итогам практики.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" w:name="_Toc196580852"/>
      <w:r w:rsidRPr="002830F0">
        <w:lastRenderedPageBreak/>
        <w:t>1</w:t>
      </w:r>
      <w:r>
        <w:t xml:space="preserve"> Анализ деятельности организации</w:t>
      </w:r>
      <w:bookmarkEnd w:id="1"/>
    </w:p>
    <w:p w14:paraId="6F30762D" w14:textId="0DA1E456" w:rsidR="00087B46" w:rsidRPr="00B917DA" w:rsidRDefault="00087B46" w:rsidP="006D1EF8">
      <w:pPr>
        <w:pStyle w:val="23"/>
      </w:pPr>
      <w:bookmarkStart w:id="2" w:name="_Toc196580853"/>
      <w:r w:rsidRPr="00087B46">
        <w:t>1.1 Общие сведения о компании ТИОН</w:t>
      </w:r>
      <w:bookmarkEnd w:id="2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61EE0F00" w14:textId="14F1E425" w:rsidR="009A135B" w:rsidRDefault="009A135B" w:rsidP="006D1EF8">
      <w:pPr>
        <w:pStyle w:val="23"/>
        <w:rPr>
          <w:rFonts w:eastAsia="Calibri"/>
        </w:rPr>
      </w:pPr>
      <w:r>
        <w:rPr>
          <w:rFonts w:eastAsia="Calibri"/>
        </w:rPr>
        <w:t>1.2 Анализ организационной структуры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064EC198" w:rsidR="009A135B" w:rsidRDefault="009A135B" w:rsidP="006D1EF8">
      <w:pPr>
        <w:pStyle w:val="23"/>
        <w:rPr>
          <w:rFonts w:eastAsia="Calibri"/>
          <w:bCs/>
        </w:rPr>
      </w:pPr>
      <w:r>
        <w:rPr>
          <w:rFonts w:eastAsia="Calibri"/>
        </w:rPr>
        <w:t xml:space="preserve">1.3 </w:t>
      </w:r>
      <w:r w:rsidR="00D13E78" w:rsidRPr="00D13E78">
        <w:rPr>
          <w:rFonts w:eastAsia="Calibri"/>
          <w:bCs/>
        </w:rPr>
        <w:t>Анализ бизнес-процессов компании, связанных с конфигурацией продукции</w:t>
      </w:r>
    </w:p>
    <w:p w14:paraId="06E77860" w14:textId="053758B8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 настоящее время процесс подбора оборудования ТИОН для клиентов осуществляется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Основные этапы этого процесса:</w:t>
      </w:r>
    </w:p>
    <w:p w14:paraId="50036A72" w14:textId="0D7F7900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Менеджер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50D27E4C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Менеджер,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6C3F0DAF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</w:t>
      </w:r>
      <w:proofErr w:type="gramStart"/>
      <w:r w:rsidRPr="00D13E78">
        <w:rPr>
          <w:rFonts w:eastAsia="Calibri"/>
          <w:szCs w:val="28"/>
          <w14:ligatures w14:val="standardContextual"/>
        </w:rPr>
        <w:t>: Предварительно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23CD6F72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Составление коммерческого предложения</w:t>
      </w:r>
      <w:proofErr w:type="gramStart"/>
      <w:r w:rsidRPr="00D13E78">
        <w:rPr>
          <w:rFonts w:eastAsia="Calibri"/>
          <w:szCs w:val="28"/>
          <w14:ligatures w14:val="standardContextual"/>
        </w:rPr>
        <w:t>: На основе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1539BF26" w14:textId="7C7942C2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</w:t>
      </w:r>
      <w:proofErr w:type="gramStart"/>
      <w:r w:rsidRPr="00D13E78">
        <w:rPr>
          <w:rFonts w:eastAsia="Calibri"/>
          <w:szCs w:val="28"/>
          <w14:ligatures w14:val="standardContextual"/>
        </w:rPr>
        <w:t>: После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согласования коммерческого предложения оформляется заказ на поставку оборудования.</w:t>
      </w:r>
    </w:p>
    <w:p w14:paraId="67E4A9A1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Проблемы и недостатки существующего процесса:</w:t>
      </w:r>
    </w:p>
    <w:p w14:paraId="4A4C768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Процесс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Ручной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Качество подбора оборудования во многом зависит от квалификации и опыта менеджера по продажам.</w:t>
      </w:r>
    </w:p>
    <w:p w14:paraId="74C9D72C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Клиенты,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Сложность визуализации конечного результата: Клиентам сложно представить, как будет выглядеть система вентиляции и очистки </w:t>
      </w:r>
      <w:r w:rsidRPr="00D13E78">
        <w:rPr>
          <w:rFonts w:eastAsia="Calibri"/>
          <w:szCs w:val="28"/>
          <w14:ligatures w14:val="standardContextual"/>
        </w:rPr>
        <w:lastRenderedPageBreak/>
        <w:t>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FB97AC6" w:rsidR="00507904" w:rsidRDefault="00975373" w:rsidP="00975373">
      <w:pPr>
        <w:pStyle w:val="23"/>
        <w:rPr>
          <w:rFonts w:eastAsia="Calibri"/>
        </w:rPr>
      </w:pPr>
      <w:r w:rsidRPr="00975373">
        <w:rPr>
          <w:rFonts w:eastAsia="Calibri"/>
        </w:rPr>
        <w:t>1.4 Анализ целевой аудитории конфигуратора</w:t>
      </w:r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1118935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Им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76D9DE80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Им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</w:t>
      </w:r>
      <w:r w:rsidRPr="00975373">
        <w:rPr>
          <w:rFonts w:eastAsia="Calibri"/>
          <w:szCs w:val="28"/>
          <w14:ligatures w14:val="standardContextual"/>
        </w:rPr>
        <w:lastRenderedPageBreak/>
        <w:t>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52199ACF" w:rsidR="00975373" w:rsidRPr="00975373" w:rsidRDefault="00975373" w:rsidP="00975373">
      <w:pPr>
        <w:pStyle w:val="23"/>
        <w:rPr>
          <w:rFonts w:eastAsia="Calibri"/>
        </w:rPr>
      </w:pPr>
      <w:r w:rsidRPr="00975373">
        <w:rPr>
          <w:rFonts w:eastAsia="Calibri"/>
          <w:bCs/>
        </w:rPr>
        <w:t>1.5 Выводы по главе</w:t>
      </w:r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</w:p>
    <w:p w14:paraId="1DF63F59" w14:textId="75DE51E8" w:rsidR="008B1F0C" w:rsidRDefault="008B1F0C" w:rsidP="006D1EF8">
      <w:pPr>
        <w:pStyle w:val="23"/>
      </w:pPr>
      <w:r>
        <w:t>2.1 Введение</w:t>
      </w:r>
    </w:p>
    <w:p w14:paraId="0DCF1416" w14:textId="21D682F5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В современном программном обеспечении выбор</w:t>
      </w:r>
      <w:r w:rsidR="002830F0">
        <w:rPr>
          <w:rFonts w:eastAsia="Calibri"/>
          <w:szCs w:val="28"/>
          <w14:ligatures w14:val="standardContextual"/>
        </w:rPr>
        <w:t xml:space="preserve"> </w:t>
      </w:r>
      <w:r w:rsidRPr="008B1F0C">
        <w:rPr>
          <w:rFonts w:eastAsia="Calibri"/>
          <w:szCs w:val="28"/>
          <w14:ligatures w14:val="standardContextual"/>
        </w:rPr>
        <w:t xml:space="preserve">инструментальных средств разработки является одним из ключевых факторов успешной реализации проекта. Грамотное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использованием архитектуры клиент-сервер, были выбраны следующие основные инструментальные средства: ASP.NET Core Web API, </w:t>
      </w:r>
      <w:proofErr w:type="spellStart"/>
      <w:r w:rsidRPr="008B1F0C">
        <w:rPr>
          <w:rFonts w:eastAsia="Calibri"/>
          <w:szCs w:val="28"/>
          <w14:ligatures w14:val="standardContextual"/>
        </w:rPr>
        <w:t>Entity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Framework (EF),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>. Ниже представлено подробное обоснование выбора каждой из этих технологий с учетом их функциональных возможностей, совместимости и преимуществ.</w:t>
      </w:r>
    </w:p>
    <w:p w14:paraId="1E491D1D" w14:textId="1B6AD59C" w:rsidR="008B1F0C" w:rsidRPr="008B1F0C" w:rsidRDefault="008B1F0C" w:rsidP="006D1EF8">
      <w:pPr>
        <w:pStyle w:val="23"/>
        <w:rPr>
          <w:rFonts w:eastAsia="Calibri"/>
        </w:rPr>
      </w:pPr>
      <w:r w:rsidRPr="008B1F0C">
        <w:rPr>
          <w:rFonts w:eastAsia="Calibri"/>
        </w:rPr>
        <w:t>2.2 Выбор серверного фреймворка — ASP.NET Core Web API</w:t>
      </w:r>
    </w:p>
    <w:p w14:paraId="49979131" w14:textId="589D672A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ASP.NET Core — это современный кроссплатформенный фреймворк от компании Microsoft для разработки веб-приложений и API.</w:t>
      </w:r>
      <w:r w:rsidR="00A91641" w:rsidRPr="00A91641">
        <w:rPr>
          <w:rFonts w:eastAsia="Calibri"/>
          <w:szCs w:val="28"/>
          <w14:ligatures w14:val="standardContextual"/>
        </w:rPr>
        <w:t xml:space="preserve"> </w:t>
      </w:r>
      <w:r w:rsidR="00A91641" w:rsidRPr="00A91641">
        <w:rPr>
          <w:rFonts w:eastAsia="Calibri"/>
          <w:szCs w:val="28"/>
          <w14:ligatures w14:val="standardContextual"/>
        </w:rPr>
        <w:t xml:space="preserve">Альтернативные варианты, такие как Node.js и PHP, были рассмотрены, но </w:t>
      </w:r>
      <w:r w:rsidRPr="008B1F0C">
        <w:rPr>
          <w:rFonts w:eastAsia="Calibri"/>
          <w:szCs w:val="28"/>
          <w14:ligatures w14:val="standardContextual"/>
        </w:rPr>
        <w:t>выбор</w:t>
      </w:r>
      <w:r w:rsidR="00A91641" w:rsidRPr="00A91641">
        <w:rPr>
          <w:rFonts w:eastAsia="Calibri"/>
          <w:szCs w:val="28"/>
          <w14:ligatures w14:val="standardContextual"/>
        </w:rPr>
        <w:t xml:space="preserve"> </w:t>
      </w:r>
      <w:r w:rsidR="00A91641" w:rsidRPr="00A91641">
        <w:rPr>
          <w:rFonts w:eastAsia="Calibri"/>
          <w:szCs w:val="28"/>
          <w14:ligatures w14:val="standardContextual"/>
        </w:rPr>
        <w:t>ASP.NET Core Web API</w:t>
      </w:r>
      <w:r w:rsidRPr="008B1F0C">
        <w:rPr>
          <w:rFonts w:eastAsia="Calibri"/>
          <w:szCs w:val="28"/>
          <w14:ligatures w14:val="standardContextual"/>
        </w:rPr>
        <w:t xml:space="preserve"> обусловлен следующими причинами:</w:t>
      </w:r>
    </w:p>
    <w:p w14:paraId="3D4968D1" w14:textId="04A76AA1" w:rsidR="008B1F0C" w:rsidRPr="00A91641" w:rsidRDefault="008B1F0C" w:rsidP="00A91641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Высокая производительность. ASP.NET Core демонстрирует превосходную производительность по сравнению с традиционными решениями, что критично для обеспечения быстрой отдачи серверных ответов и масштабируемости системы.</w:t>
      </w:r>
    </w:p>
    <w:p w14:paraId="1D52BF8B" w14:textId="65AB5C68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- Кроссплатформенность. Возможность запуска на различных операционных системах (Windows, Linux, </w:t>
      </w:r>
      <w:proofErr w:type="spellStart"/>
      <w:r w:rsidRPr="008B1F0C">
        <w:rPr>
          <w:rFonts w:eastAsia="Calibri"/>
          <w:szCs w:val="28"/>
          <w14:ligatures w14:val="standardContextual"/>
        </w:rPr>
        <w:t>macOS</w:t>
      </w:r>
      <w:proofErr w:type="spellEnd"/>
      <w:r w:rsidRPr="008B1F0C">
        <w:rPr>
          <w:rFonts w:eastAsia="Calibri"/>
          <w:szCs w:val="28"/>
          <w14:ligatures w14:val="standardContextual"/>
        </w:rPr>
        <w:t>) способствует гибкости развертывания приложений.</w:t>
      </w:r>
    </w:p>
    <w:p w14:paraId="327747C2" w14:textId="58DD272A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lastRenderedPageBreak/>
        <w:t>- Современная архитектура. ASP.NET Core поддерживает внедрение зависимостей, инверсию управления, а также модульность компонентов, что упрощает сопровождение и расширение кода.</w:t>
      </w:r>
    </w:p>
    <w:p w14:paraId="0680754B" w14:textId="7C22005D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Широкое сообщество и поддержка. Большое сообщество разработчиков и официальная поддержка обеспечивают регулярные обновления и наличие большого количества обучающих материалов.</w:t>
      </w:r>
    </w:p>
    <w:p w14:paraId="3A461730" w14:textId="555A7E34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В совокупности данные характеристики делают ASP.NET Core идеальной платформой для создания Web API, обеспечивающего надежную и эффективную серверную часть проекта.</w:t>
      </w:r>
    </w:p>
    <w:p w14:paraId="1DBE50E8" w14:textId="3B606841" w:rsidR="008B1F0C" w:rsidRPr="008B1F0C" w:rsidRDefault="008B1F0C" w:rsidP="006D1EF8">
      <w:pPr>
        <w:pStyle w:val="23"/>
        <w:rPr>
          <w:rFonts w:eastAsia="Calibri"/>
        </w:rPr>
      </w:pPr>
      <w:r w:rsidRPr="008B1F0C">
        <w:rPr>
          <w:rFonts w:eastAsia="Calibri"/>
        </w:rPr>
        <w:t xml:space="preserve">2.3 Обоснование выбора ORM — </w:t>
      </w:r>
      <w:proofErr w:type="spellStart"/>
      <w:r w:rsidRPr="008B1F0C">
        <w:rPr>
          <w:rFonts w:eastAsia="Calibri"/>
        </w:rPr>
        <w:t>Entity</w:t>
      </w:r>
      <w:proofErr w:type="spellEnd"/>
      <w:r w:rsidRPr="008B1F0C">
        <w:rPr>
          <w:rFonts w:eastAsia="Calibri"/>
        </w:rPr>
        <w:t xml:space="preserve"> Framework (EF)</w:t>
      </w:r>
    </w:p>
    <w:p w14:paraId="31184704" w14:textId="35479526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Для взаимодействия с базой данных в проекте выбран ORM-инструмент </w:t>
      </w:r>
      <w:proofErr w:type="spellStart"/>
      <w:r w:rsidRPr="008B1F0C">
        <w:rPr>
          <w:rFonts w:eastAsia="Calibri"/>
          <w:szCs w:val="28"/>
          <w14:ligatures w14:val="standardContextual"/>
        </w:rPr>
        <w:t>Entity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Framework Core.</w:t>
      </w:r>
      <w:r w:rsidR="005C67C2" w:rsidRPr="005C67C2">
        <w:rPr>
          <w:rFonts w:eastAsia="Calibri"/>
          <w:szCs w:val="28"/>
          <w14:ligatures w14:val="standardContextual"/>
        </w:rPr>
        <w:t xml:space="preserve"> </w:t>
      </w:r>
      <w:r w:rsidR="005C67C2" w:rsidRPr="005C67C2">
        <w:rPr>
          <w:rFonts w:eastAsia="Calibri"/>
          <w:szCs w:val="28"/>
          <w14:ligatures w14:val="standardContextual"/>
        </w:rPr>
        <w:t xml:space="preserve">Альтернативные варианты, такие как </w:t>
      </w:r>
      <w:proofErr w:type="spellStart"/>
      <w:r w:rsidR="005C67C2" w:rsidRPr="005C67C2">
        <w:rPr>
          <w:rFonts w:eastAsia="Calibri"/>
          <w:szCs w:val="28"/>
          <w14:ligatures w14:val="standardContextual"/>
        </w:rPr>
        <w:t>Dapper</w:t>
      </w:r>
      <w:proofErr w:type="spellEnd"/>
      <w:r w:rsidR="005C67C2" w:rsidRPr="005C67C2">
        <w:rPr>
          <w:rFonts w:eastAsia="Calibri"/>
          <w:szCs w:val="28"/>
          <w14:ligatures w14:val="standardContextual"/>
        </w:rPr>
        <w:t xml:space="preserve"> и ADO.NET, были рассмотрены, но EF Core был выбран из-за его</w:t>
      </w:r>
      <w:r w:rsidRPr="008B1F0C">
        <w:rPr>
          <w:rFonts w:eastAsia="Calibri"/>
          <w:szCs w:val="28"/>
          <w14:ligatures w14:val="standardContextual"/>
        </w:rPr>
        <w:t xml:space="preserve"> преимущества применения:</w:t>
      </w:r>
    </w:p>
    <w:p w14:paraId="2308350B" w14:textId="028FD40A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Абстракция работы с данными. EF позволяет работать с данными на уровне объектно-ориентированного программирования, что упрощает разработку и снижает вероятность ошибок, связанных с написанием SQL-запросов вручную.</w:t>
      </w:r>
    </w:p>
    <w:p w14:paraId="3025D734" w14:textId="773BB46F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Поддержка миграций. Механизм миграций упрощает управление изменениями структуры базы данных, что важно при итеративной разработке.</w:t>
      </w:r>
    </w:p>
    <w:p w14:paraId="7B6043F0" w14:textId="0621B311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Высокая совместимость с ASP.NET Core. EF Core тесно интегрирован с ASP.NET Core, что облегчает настройку и использование совместно с Web API.</w:t>
      </w:r>
    </w:p>
    <w:p w14:paraId="3398489E" w14:textId="080664D6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Оптимизация запросов. EF Core обладает средствами для оптимизации запросов и управления производительностью, позволяя создавать эффективные обращения к базе данных.</w:t>
      </w:r>
    </w:p>
    <w:p w14:paraId="6BFD124C" w14:textId="616EEAEE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Таким образом, использование EF Core способствует сокращению времени разработки и повышению надежности работы с данными.</w:t>
      </w:r>
    </w:p>
    <w:p w14:paraId="69AB5606" w14:textId="4212AC75" w:rsidR="008B1F0C" w:rsidRPr="008B1F0C" w:rsidRDefault="008B1F0C" w:rsidP="006D1EF8">
      <w:pPr>
        <w:pStyle w:val="23"/>
        <w:rPr>
          <w:rFonts w:eastAsia="Calibri"/>
        </w:rPr>
      </w:pPr>
      <w:r w:rsidRPr="008B1F0C">
        <w:rPr>
          <w:rFonts w:eastAsia="Calibri"/>
        </w:rPr>
        <w:lastRenderedPageBreak/>
        <w:t xml:space="preserve">2.4 Выбор клиентского фреймворка — </w:t>
      </w:r>
      <w:proofErr w:type="spellStart"/>
      <w:r w:rsidRPr="008B1F0C">
        <w:rPr>
          <w:rFonts w:eastAsia="Calibri"/>
        </w:rPr>
        <w:t>React</w:t>
      </w:r>
      <w:proofErr w:type="spellEnd"/>
    </w:p>
    <w:p w14:paraId="1D650B64" w14:textId="77777777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Для реализации клиентской части выбран JavaScript-фреймворк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>, основанный на следующих критериях:</w:t>
      </w:r>
    </w:p>
    <w:p w14:paraId="3EA792A5" w14:textId="00E02EC1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</w:t>
      </w:r>
      <w:r w:rsidR="006D1EF8">
        <w:rPr>
          <w:rFonts w:eastAsia="Calibri"/>
          <w:szCs w:val="28"/>
          <w14:ligatures w14:val="standardContextual"/>
        </w:rPr>
        <w:t xml:space="preserve"> </w:t>
      </w:r>
      <w:r w:rsidRPr="008B1F0C">
        <w:rPr>
          <w:rFonts w:eastAsia="Calibri"/>
          <w:szCs w:val="28"/>
          <w14:ligatures w14:val="standardContextual"/>
        </w:rPr>
        <w:t xml:space="preserve">Компонентный подход.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построен </w:t>
      </w:r>
      <w:proofErr w:type="gramStart"/>
      <w:r w:rsidRPr="008B1F0C">
        <w:rPr>
          <w:rFonts w:eastAsia="Calibri"/>
          <w:szCs w:val="28"/>
          <w14:ligatures w14:val="standardContextual"/>
        </w:rPr>
        <w:t>на компонентов</w:t>
      </w:r>
      <w:proofErr w:type="gramEnd"/>
      <w:r w:rsidRPr="008B1F0C">
        <w:rPr>
          <w:rFonts w:eastAsia="Calibri"/>
          <w:szCs w:val="28"/>
          <w14:ligatures w14:val="standardContextual"/>
        </w:rPr>
        <w:t xml:space="preserve">, что обеспечивает </w:t>
      </w:r>
      <w:proofErr w:type="spellStart"/>
      <w:r w:rsidRPr="008B1F0C">
        <w:rPr>
          <w:rFonts w:eastAsia="Calibri"/>
          <w:szCs w:val="28"/>
          <w14:ligatures w14:val="standardContextual"/>
        </w:rPr>
        <w:t>переиспользуемость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кода, упрощает поддержку и расширение интерфейса.</w:t>
      </w:r>
    </w:p>
    <w:p w14:paraId="6251B6E4" w14:textId="6F2CCFAE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Высокая производительность за счет виртуального DOM. Механизм виртуального DOM помогает минимизировать обновления реального DOM, что повышает отзывчивость пользовательского интерфейса.</w:t>
      </w:r>
    </w:p>
    <w:p w14:paraId="33422DCF" w14:textId="29931D9D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-Богатая экосистема и большое сообщество. Большое количество готовых библиотек и инструментов облегчает внедрение дополнительных функций.</w:t>
      </w:r>
    </w:p>
    <w:p w14:paraId="5BDF71CC" w14:textId="381078F9" w:rsid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- Гибкость и возможность интеграции.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легко интегрируется с различными серверными технологиями и API, включая </w:t>
      </w:r>
      <w:proofErr w:type="spellStart"/>
      <w:r w:rsidRPr="008B1F0C">
        <w:rPr>
          <w:rFonts w:eastAsia="Calibri"/>
          <w:szCs w:val="28"/>
          <w14:ligatures w14:val="standardContextual"/>
        </w:rPr>
        <w:t>RESTful</w:t>
      </w:r>
      <w:proofErr w:type="spellEnd"/>
      <w:r w:rsidRPr="008B1F0C">
        <w:rPr>
          <w:rFonts w:eastAsia="Calibri"/>
          <w:szCs w:val="28"/>
          <w14:ligatures w14:val="standardContextual"/>
        </w:rPr>
        <w:t>-сервисы, предоставляемые ASP.NET Core Web API.</w:t>
      </w:r>
    </w:p>
    <w:p w14:paraId="65EA3F26" w14:textId="797E7DA7" w:rsidR="00B37C26" w:rsidRPr="00A91641" w:rsidRDefault="00B37C26" w:rsidP="006D1EF8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37C26">
        <w:rPr>
          <w:rFonts w:eastAsia="Calibri"/>
          <w:szCs w:val="28"/>
          <w14:ligatures w14:val="standardContextual"/>
        </w:rPr>
        <w:t xml:space="preserve">Альтернативные варианты, такие как </w:t>
      </w:r>
      <w:proofErr w:type="spellStart"/>
      <w:r w:rsidRPr="00B37C26">
        <w:rPr>
          <w:rFonts w:eastAsia="Calibri"/>
          <w:szCs w:val="28"/>
          <w14:ligatures w14:val="standardContextual"/>
        </w:rPr>
        <w:t>Angular</w:t>
      </w:r>
      <w:proofErr w:type="spellEnd"/>
      <w:r w:rsidRPr="00B37C26">
        <w:rPr>
          <w:rFonts w:eastAsia="Calibri"/>
          <w:szCs w:val="28"/>
          <w14:ligatures w14:val="standardContextual"/>
        </w:rPr>
        <w:t xml:space="preserve"> и Vue.js, были рассмотрены, но React.js был выбран из-за его</w:t>
      </w:r>
      <w:r w:rsidRPr="00B37C26">
        <w:rPr>
          <w:rFonts w:eastAsia="Calibri"/>
          <w:szCs w:val="28"/>
          <w14:ligatures w14:val="standardContextual"/>
        </w:rPr>
        <w:t xml:space="preserve">: </w:t>
      </w:r>
      <w:r w:rsidRPr="00B37C26">
        <w:rPr>
          <w:rFonts w:eastAsia="Calibri"/>
          <w:szCs w:val="28"/>
          <w14:ligatures w14:val="standardContextual"/>
        </w:rPr>
        <w:t>простоты изучения, гибкости и большой экосистемы.</w:t>
      </w:r>
      <w:r w:rsidR="00A91641">
        <w:rPr>
          <w:rFonts w:eastAsia="Calibri"/>
          <w:szCs w:val="28"/>
          <w:lang w:val="en-US"/>
          <w14:ligatures w14:val="standardContextual"/>
        </w:rPr>
        <w:tab/>
      </w:r>
    </w:p>
    <w:p w14:paraId="1A26ADFD" w14:textId="2D3BE384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Выбор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позволяет создавать динамичный, удобный и масштабируемый пользовательский интерфейс.</w:t>
      </w:r>
    </w:p>
    <w:p w14:paraId="2C6CBFCA" w14:textId="4EABBB43" w:rsidR="008B1F0C" w:rsidRPr="008B1F0C" w:rsidRDefault="008B1F0C" w:rsidP="006D1EF8">
      <w:pPr>
        <w:pStyle w:val="23"/>
        <w:rPr>
          <w:rFonts w:eastAsia="Calibri"/>
        </w:rPr>
      </w:pPr>
      <w:r w:rsidRPr="008B1F0C">
        <w:rPr>
          <w:rFonts w:eastAsia="Calibri"/>
        </w:rPr>
        <w:t xml:space="preserve">2.5 Выбор системы управления базами данных — </w:t>
      </w:r>
      <w:proofErr w:type="spellStart"/>
      <w:r w:rsidRPr="008B1F0C">
        <w:rPr>
          <w:rFonts w:eastAsia="Calibri"/>
        </w:rPr>
        <w:t>PostgreSQL</w:t>
      </w:r>
      <w:proofErr w:type="spellEnd"/>
    </w:p>
    <w:p w14:paraId="43AEAD7A" w14:textId="7AE1CE3B" w:rsid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В качестве СУБД была выбрана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— объектно-реляционная система управления базами данных с открытым исходным кодом.</w:t>
      </w:r>
    </w:p>
    <w:p w14:paraId="0F45BBA9" w14:textId="561782F5" w:rsidR="00975373" w:rsidRPr="00975373" w:rsidRDefault="00975373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Альтернативные варианты, такие как MySQL и MS SQL Server, были рассмотрены, но </w:t>
      </w:r>
      <w:proofErr w:type="spellStart"/>
      <w:r w:rsidRPr="00975373">
        <w:rPr>
          <w:rFonts w:eastAsia="Calibri"/>
          <w:szCs w:val="28"/>
          <w14:ligatures w14:val="standardContextual"/>
        </w:rPr>
        <w:t>PostgreSQL</w:t>
      </w:r>
      <w:proofErr w:type="spellEnd"/>
      <w:r w:rsidRPr="00975373">
        <w:rPr>
          <w:rFonts w:eastAsia="Calibri"/>
          <w:szCs w:val="28"/>
          <w14:ligatures w14:val="standardContextual"/>
        </w:rPr>
        <w:t xml:space="preserve"> был выбран из-за его </w:t>
      </w:r>
      <w:r>
        <w:rPr>
          <w:rFonts w:eastAsia="Calibri"/>
          <w:szCs w:val="28"/>
          <w14:ligatures w14:val="standardContextual"/>
        </w:rPr>
        <w:t>преимуществ</w:t>
      </w:r>
      <w:r w:rsidRPr="00975373">
        <w:rPr>
          <w:rFonts w:eastAsia="Calibri"/>
          <w:szCs w:val="28"/>
          <w14:ligatures w14:val="standardContextual"/>
        </w:rPr>
        <w:t>:</w:t>
      </w:r>
    </w:p>
    <w:p w14:paraId="48FB7575" w14:textId="3B32EF41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- Надежность и устойчивость.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признана одной из самых стабильных и надежных СУБД с поддержкой транзакций и механизма сохранения данных.</w:t>
      </w:r>
    </w:p>
    <w:p w14:paraId="43A17E20" w14:textId="3FC31CC1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lastRenderedPageBreak/>
        <w:t>- Соответствие стандартам SQL. Поддержка широкого спектра стандартных SQL-конструкций облегчает разработку и миграцию.</w:t>
      </w:r>
    </w:p>
    <w:p w14:paraId="059228ED" w14:textId="58862F4F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- Расширяемость и поддержка сложных типов данных.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поддерживает JSONB, массивы, географические типы (</w:t>
      </w:r>
      <w:proofErr w:type="spellStart"/>
      <w:r w:rsidRPr="008B1F0C">
        <w:rPr>
          <w:rFonts w:eastAsia="Calibri"/>
          <w:szCs w:val="28"/>
          <w14:ligatures w14:val="standardContextual"/>
        </w:rPr>
        <w:t>PostGIS</w:t>
      </w:r>
      <w:proofErr w:type="spellEnd"/>
      <w:r w:rsidRPr="008B1F0C">
        <w:rPr>
          <w:rFonts w:eastAsia="Calibri"/>
          <w:szCs w:val="28"/>
          <w14:ligatures w14:val="standardContextual"/>
        </w:rPr>
        <w:t>) и другие расширения.</w:t>
      </w:r>
    </w:p>
    <w:p w14:paraId="77F90066" w14:textId="2ED1C018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</w:t>
      </w:r>
      <w:r w:rsidR="006D1EF8">
        <w:rPr>
          <w:rFonts w:eastAsia="Calibri"/>
          <w:szCs w:val="28"/>
          <w14:ligatures w14:val="standardContextual"/>
        </w:rPr>
        <w:t xml:space="preserve"> </w:t>
      </w:r>
      <w:r w:rsidRPr="008B1F0C">
        <w:rPr>
          <w:rFonts w:eastAsia="Calibri"/>
          <w:szCs w:val="28"/>
          <w14:ligatures w14:val="standardContextual"/>
        </w:rPr>
        <w:t>Высокая производительность. Оптимизирована под высоконагруженные приложения.</w:t>
      </w:r>
    </w:p>
    <w:p w14:paraId="454B24B0" w14:textId="62F1F1CB" w:rsidR="00975373" w:rsidRDefault="008B1F0C" w:rsidP="00975373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>- Активное сообщество и бесплатная лицензия. Открытый исходный код снижает затраты на лицензирование.</w:t>
      </w:r>
    </w:p>
    <w:p w14:paraId="48373B10" w14:textId="1B42B89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>
        <w:rPr>
          <w:rFonts w:eastAsia="Calibri"/>
          <w:szCs w:val="28"/>
          <w:lang w:val="en-US"/>
          <w14:ligatures w14:val="standardContextual"/>
        </w:rPr>
        <w:t xml:space="preserve">- </w:t>
      </w:r>
      <w:r>
        <w:rPr>
          <w:rFonts w:eastAsia="Calibri"/>
          <w:szCs w:val="28"/>
          <w14:ligatures w14:val="standardContextual"/>
        </w:rPr>
        <w:t>О</w:t>
      </w:r>
      <w:r w:rsidRPr="00975373">
        <w:rPr>
          <w:rFonts w:eastAsia="Calibri"/>
          <w:szCs w:val="28"/>
          <w14:ligatures w14:val="standardContextual"/>
        </w:rPr>
        <w:t>тсутстви</w:t>
      </w:r>
      <w:r>
        <w:rPr>
          <w:rFonts w:eastAsia="Calibri"/>
          <w:szCs w:val="28"/>
          <w14:ligatures w14:val="standardContextual"/>
        </w:rPr>
        <w:t>е</w:t>
      </w:r>
      <w:r w:rsidRPr="00975373">
        <w:rPr>
          <w:rFonts w:eastAsia="Calibri"/>
          <w:szCs w:val="28"/>
          <w14:ligatures w14:val="standardContextual"/>
        </w:rPr>
        <w:t xml:space="preserve"> лицензионных ограничений</w:t>
      </w:r>
    </w:p>
    <w:p w14:paraId="2085D01B" w14:textId="498AE3A3" w:rsidR="008B1F0C" w:rsidRPr="008B1F0C" w:rsidRDefault="008B1F0C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Выбор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обеспечивает надежное хранение данных и эффективность при работе с большими объемами информации.</w:t>
      </w:r>
    </w:p>
    <w:p w14:paraId="4215BC07" w14:textId="5E9AC683" w:rsidR="008B1F0C" w:rsidRPr="008B1F0C" w:rsidRDefault="008B1F0C" w:rsidP="006D1EF8">
      <w:pPr>
        <w:pStyle w:val="23"/>
        <w:rPr>
          <w:rFonts w:eastAsia="Calibri"/>
        </w:rPr>
      </w:pPr>
      <w:r w:rsidRPr="008B1F0C">
        <w:rPr>
          <w:rFonts w:eastAsia="Calibri"/>
        </w:rPr>
        <w:t xml:space="preserve">2.6 </w:t>
      </w:r>
      <w:r w:rsidR="00975373">
        <w:rPr>
          <w:rFonts w:eastAsia="Calibri"/>
        </w:rPr>
        <w:t>Вывод по главе</w:t>
      </w:r>
    </w:p>
    <w:p w14:paraId="1E7DE24D" w14:textId="77777777" w:rsidR="008B1F0C" w:rsidRPr="008B1F0C" w:rsidRDefault="008B1F0C" w:rsidP="008B1F0C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B1F0C">
        <w:rPr>
          <w:rFonts w:eastAsia="Calibri"/>
          <w:szCs w:val="28"/>
          <w14:ligatures w14:val="standardContextual"/>
        </w:rPr>
        <w:t xml:space="preserve">Таким образом, выбранный стек инструментальных средств (ASP.NET Core Web API, </w:t>
      </w:r>
      <w:proofErr w:type="spellStart"/>
      <w:r w:rsidRPr="008B1F0C">
        <w:rPr>
          <w:rFonts w:eastAsia="Calibri"/>
          <w:szCs w:val="28"/>
          <w14:ligatures w14:val="standardContextual"/>
        </w:rPr>
        <w:t>Entity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 Framework Core, </w:t>
      </w:r>
      <w:proofErr w:type="spellStart"/>
      <w:r w:rsidRPr="008B1F0C">
        <w:rPr>
          <w:rFonts w:eastAsia="Calibri"/>
          <w:szCs w:val="28"/>
          <w14:ligatures w14:val="standardContextual"/>
        </w:rPr>
        <w:t>React</w:t>
      </w:r>
      <w:proofErr w:type="spellEnd"/>
      <w:r w:rsidRPr="008B1F0C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8B1F0C">
        <w:rPr>
          <w:rFonts w:eastAsia="Calibri"/>
          <w:szCs w:val="28"/>
          <w14:ligatures w14:val="standardContextual"/>
        </w:rPr>
        <w:t>PostgreSQL</w:t>
      </w:r>
      <w:proofErr w:type="spellEnd"/>
      <w:r w:rsidRPr="008B1F0C">
        <w:rPr>
          <w:rFonts w:eastAsia="Calibri"/>
          <w:szCs w:val="28"/>
          <w14:ligatures w14:val="standardContextual"/>
        </w:rPr>
        <w:t>) обеспечивает высокую производительность, надежность и удобство разработки на всех уровнях программного продукта — от серверной логики до пользовательского интерфейса и работы с данными. Интеграция этих технологий способствует целостному и масштабируемому решению задач проекта, что полностью соответствует современным требованиям к программным системам.</w:t>
      </w:r>
    </w:p>
    <w:p w14:paraId="356FD050" w14:textId="4148BCC0" w:rsidR="00FF30AD" w:rsidRDefault="00FF30AD" w:rsidP="00DE0133">
      <w:pPr>
        <w:jc w:val="center"/>
        <w:rPr>
          <w:szCs w:val="28"/>
        </w:rPr>
      </w:pPr>
    </w:p>
    <w:p w14:paraId="4076C5DF" w14:textId="21DBF1E9" w:rsidR="002830F0" w:rsidRDefault="002830F0" w:rsidP="00975373">
      <w:pPr>
        <w:pStyle w:val="11"/>
      </w:pPr>
      <w:r>
        <w:br w:type="page"/>
      </w:r>
      <w:r w:rsidR="00975373">
        <w:lastRenderedPageBreak/>
        <w:t>3 Проектирование и разработка интерактивного конфигуратора</w:t>
      </w:r>
    </w:p>
    <w:p w14:paraId="49999495" w14:textId="74B12F89" w:rsidR="007326EF" w:rsidRPr="007326EF" w:rsidRDefault="007326EF" w:rsidP="007326EF">
      <w:pPr>
        <w:pStyle w:val="23"/>
        <w:rPr>
          <w:lang w:val="en-US"/>
        </w:rPr>
      </w:pPr>
      <w:r w:rsidRPr="007326EF">
        <w:rPr>
          <w:rFonts w:eastAsia="Times New Roman"/>
        </w:rPr>
        <w:t>3.1 Анализ требований к конфигуратору</w:t>
      </w:r>
    </w:p>
    <w:p w14:paraId="23E5F544" w14:textId="77777777" w:rsidR="007326EF" w:rsidRPr="007326EF" w:rsidRDefault="007326EF" w:rsidP="007326E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Функциональные требования к конфигуратору:</w:t>
      </w:r>
    </w:p>
    <w:p w14:paraId="47FF0313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Управление каталогом продукции:</w:t>
      </w:r>
    </w:p>
    <w:p w14:paraId="1D25D3C9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добавления, редактирования и удаления продукции из каталога"].</w:t>
      </w:r>
    </w:p>
    <w:p w14:paraId="4F3A7E5D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загрузки изображений и технических характеристик продукции"].</w:t>
      </w:r>
    </w:p>
    <w:p w14:paraId="120EA668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Конфигурация оборудования:</w:t>
      </w:r>
    </w:p>
    <w:p w14:paraId="5712977B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выбора параметров оборудования, таких как мощность, производительность и размеры"].</w:t>
      </w:r>
    </w:p>
    <w:p w14:paraId="7F4A3042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"Автоматическая проверка совместимости выбранных компонентов"].</w:t>
      </w:r>
    </w:p>
    <w:p w14:paraId="5C2A475D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Формирование спецификации:</w:t>
      </w:r>
    </w:p>
    <w:p w14:paraId="5D00B07F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"Автоматическое формирование спецификации на основе выбранной конфигурации"].</w:t>
      </w:r>
    </w:p>
    <w:p w14:paraId="7E7FDFAF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редактирования спецификации"].</w:t>
      </w:r>
    </w:p>
    <w:p w14:paraId="0AB53DD4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Экспорт данных:</w:t>
      </w:r>
    </w:p>
    <w:p w14:paraId="6611AE3A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экспорта спецификации в различные форматы (PDF, Excel)"].</w:t>
      </w:r>
    </w:p>
    <w:p w14:paraId="4F55DA76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"Возможность отправки спецификации по электронной почте"].</w:t>
      </w:r>
    </w:p>
    <w:p w14:paraId="2BAAB038" w14:textId="77777777" w:rsidR="007326EF" w:rsidRPr="007326EF" w:rsidRDefault="007326EF" w:rsidP="007326E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Нефункциональные требования:</w:t>
      </w:r>
    </w:p>
    <w:p w14:paraId="4E371588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Производительность:</w:t>
      </w:r>
    </w:p>
    <w:p w14:paraId="3241DD4C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"Конфигуратор должен обеспечивать быструю загрузку данных и мгновенный отклик на действия пользователя"].</w:t>
      </w:r>
    </w:p>
    <w:p w14:paraId="23D36CC0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lastRenderedPageBreak/>
        <w:t>Безопасность:</w:t>
      </w:r>
    </w:p>
    <w:p w14:paraId="00FFC7D0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"Конфигуратор должен обеспечивать защиту от несанкционированного доступа и взлома"].</w:t>
      </w:r>
    </w:p>
    <w:p w14:paraId="6FA123AB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Удобство использования:</w:t>
      </w:r>
    </w:p>
    <w:p w14:paraId="13E23E4D" w14:textId="77777777" w:rsidR="007326EF" w:rsidRPr="007326EF" w:rsidRDefault="007326EF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[ОПИШИТЕ ТРЕБОВАНИЯ. НАПРИМЕР: "Конфигуратор должен быть интуитивно понятным и простым в использовании даже для пользователей с небольшим опытом работы с компьютером"].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r w:rsidRPr="007326EF">
        <w:rPr>
          <w:rFonts w:eastAsia="Calibri"/>
        </w:rPr>
        <w:t>3.2 Проектирование архитектуры системы</w:t>
      </w:r>
    </w:p>
    <w:p w14:paraId="74CFC883" w14:textId="77777777" w:rsidR="007326EF" w:rsidRPr="007326EF" w:rsidRDefault="007326EF" w:rsidP="007326E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Архитектура системы состоит из трех основных компонентов:</w:t>
      </w:r>
    </w:p>
    <w:p w14:paraId="624C418C" w14:textId="77777777" w:rsidR="007326EF" w:rsidRPr="007326EF" w:rsidRDefault="007326EF" w:rsidP="007326EF">
      <w:pPr>
        <w:pStyle w:val="a7"/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7326EF">
        <w:rPr>
          <w:rFonts w:eastAsia="Calibri"/>
          <w:szCs w:val="28"/>
          <w14:ligatures w14:val="standardContextual"/>
        </w:rPr>
        <w:t>Frontend</w:t>
      </w:r>
      <w:proofErr w:type="spellEnd"/>
      <w:r w:rsidRPr="007326EF">
        <w:rPr>
          <w:rFonts w:eastAsia="Calibri"/>
          <w:szCs w:val="28"/>
          <w14:ligatures w14:val="standardContextual"/>
        </w:rPr>
        <w:t xml:space="preserve"> (React.js): </w:t>
      </w:r>
      <w:proofErr w:type="spellStart"/>
      <w:r w:rsidRPr="007326EF">
        <w:rPr>
          <w:rFonts w:eastAsia="Calibri"/>
          <w:szCs w:val="28"/>
          <w14:ligatures w14:val="standardContextual"/>
        </w:rPr>
        <w:t>Frontend</w:t>
      </w:r>
      <w:proofErr w:type="spellEnd"/>
      <w:r w:rsidRPr="007326EF">
        <w:rPr>
          <w:rFonts w:eastAsia="Calibri"/>
          <w:szCs w:val="28"/>
          <w14:ligatures w14:val="standardContextual"/>
        </w:rPr>
        <w:t xml:space="preserve"> предоставляет пользовательский интерфейс для взаимодействия с конфигуратором. Он отвечает за отображение данных, обработку пользовательского ввода и взаимодействие с </w:t>
      </w:r>
      <w:proofErr w:type="spellStart"/>
      <w:r w:rsidRPr="007326EF">
        <w:rPr>
          <w:rFonts w:eastAsia="Calibri"/>
          <w:szCs w:val="28"/>
          <w14:ligatures w14:val="standardContextual"/>
        </w:rPr>
        <w:t>backend</w:t>
      </w:r>
      <w:proofErr w:type="spellEnd"/>
      <w:r w:rsidRPr="007326EF">
        <w:rPr>
          <w:rFonts w:eastAsia="Calibri"/>
          <w:szCs w:val="28"/>
          <w14:ligatures w14:val="standardContextual"/>
        </w:rPr>
        <w:t>-ом.</w:t>
      </w:r>
    </w:p>
    <w:p w14:paraId="227B90B9" w14:textId="77777777" w:rsidR="007326EF" w:rsidRPr="007326EF" w:rsidRDefault="007326EF" w:rsidP="007326EF">
      <w:pPr>
        <w:pStyle w:val="a7"/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7326EF">
        <w:rPr>
          <w:rFonts w:eastAsia="Calibri"/>
          <w:szCs w:val="28"/>
          <w14:ligatures w14:val="standardContextual"/>
        </w:rPr>
        <w:t>Backend</w:t>
      </w:r>
      <w:proofErr w:type="spellEnd"/>
      <w:r w:rsidRPr="007326EF">
        <w:rPr>
          <w:rFonts w:eastAsia="Calibri"/>
          <w:szCs w:val="28"/>
          <w14:ligatures w14:val="standardContextual"/>
        </w:rPr>
        <w:t xml:space="preserve"> (ASP.NET Core Web API): </w:t>
      </w:r>
      <w:proofErr w:type="spellStart"/>
      <w:r w:rsidRPr="007326EF">
        <w:rPr>
          <w:rFonts w:eastAsia="Calibri"/>
          <w:szCs w:val="28"/>
          <w14:ligatures w14:val="standardContextual"/>
        </w:rPr>
        <w:t>Backend</w:t>
      </w:r>
      <w:proofErr w:type="spellEnd"/>
      <w:r w:rsidRPr="007326EF">
        <w:rPr>
          <w:rFonts w:eastAsia="Calibri"/>
          <w:szCs w:val="28"/>
          <w14:ligatures w14:val="standardContextual"/>
        </w:rPr>
        <w:t xml:space="preserve"> предоставляет API для доступа к данным и выполнения бизнес-логики. Он отвечает за обработку запросов от </w:t>
      </w:r>
      <w:proofErr w:type="spellStart"/>
      <w:r w:rsidRPr="007326EF">
        <w:rPr>
          <w:rFonts w:eastAsia="Calibri"/>
          <w:szCs w:val="28"/>
          <w14:ligatures w14:val="standardContextual"/>
        </w:rPr>
        <w:t>frontend</w:t>
      </w:r>
      <w:proofErr w:type="spellEnd"/>
      <w:r w:rsidRPr="007326EF">
        <w:rPr>
          <w:rFonts w:eastAsia="Calibri"/>
          <w:szCs w:val="28"/>
          <w14:ligatures w14:val="standardContextual"/>
        </w:rPr>
        <w:t>-а, взаимодействие с базой данных и формирование ответов.</w:t>
      </w:r>
    </w:p>
    <w:p w14:paraId="796BBC28" w14:textId="77777777" w:rsidR="007326EF" w:rsidRDefault="007326EF" w:rsidP="007326EF">
      <w:pPr>
        <w:pStyle w:val="a7"/>
        <w:numPr>
          <w:ilvl w:val="0"/>
          <w:numId w:val="16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7326EF">
        <w:rPr>
          <w:rFonts w:eastAsia="Calibri"/>
          <w:szCs w:val="28"/>
          <w14:ligatures w14:val="standardContextual"/>
        </w:rPr>
        <w:t>Database (</w:t>
      </w:r>
      <w:proofErr w:type="spellStart"/>
      <w:r w:rsidRPr="007326EF">
        <w:rPr>
          <w:rFonts w:eastAsia="Calibri"/>
          <w:szCs w:val="28"/>
          <w14:ligatures w14:val="standardContextual"/>
        </w:rPr>
        <w:t>PostgreSQL</w:t>
      </w:r>
      <w:proofErr w:type="spellEnd"/>
      <w:r w:rsidRPr="007326EF">
        <w:rPr>
          <w:rFonts w:eastAsia="Calibri"/>
          <w:szCs w:val="28"/>
          <w14:ligatures w14:val="standardContextual"/>
        </w:rPr>
        <w:t>): База данных хранит данные о продукции, конфигурациях и пользователях.</w:t>
      </w:r>
    </w:p>
    <w:p w14:paraId="30AAEA46" w14:textId="4365C976" w:rsidR="00080F21" w:rsidRPr="00080F21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</w:t>
      </w:r>
      <w:proofErr w:type="spellStart"/>
      <w:r>
        <w:rPr>
          <w:rFonts w:eastAsia="Calibri"/>
          <w:szCs w:val="28"/>
          <w14:ligatures w14:val="standardContextual"/>
        </w:rPr>
        <w:t>рискнке</w:t>
      </w:r>
      <w:proofErr w:type="spellEnd"/>
      <w:r w:rsidRPr="00080F21">
        <w:rPr>
          <w:rFonts w:eastAsia="Calibri"/>
          <w:szCs w:val="28"/>
          <w14:ligatures w14:val="standardContextual"/>
        </w:rPr>
        <w:t>: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Pr="007326EF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:lang w:val="en-US"/>
          <w14:ligatures w14:val="standardContextual"/>
        </w:rPr>
      </w:pPr>
      <w:r>
        <w:rPr>
          <w:rFonts w:eastAsia="Calibri"/>
          <w:noProof/>
          <w:szCs w:val="28"/>
          <w:lang w:val="en-US"/>
          <w14:ligatures w14:val="standardContextual"/>
        </w:rPr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B043" w14:textId="55723833" w:rsidR="00080F21" w:rsidRPr="00080F21" w:rsidRDefault="00080F21" w:rsidP="00080F21">
      <w:pPr>
        <w:spacing w:after="160" w:line="259" w:lineRule="auto"/>
        <w:jc w:val="center"/>
      </w:pPr>
      <w:r>
        <w:t xml:space="preserve">Рисунок 1 – </w:t>
      </w:r>
      <w:r>
        <w:t>Архитектура системы</w:t>
      </w:r>
    </w:p>
    <w:p w14:paraId="2A0CA59C" w14:textId="4995025C" w:rsidR="00975373" w:rsidRDefault="00080F21" w:rsidP="00080F21">
      <w:pPr>
        <w:pStyle w:val="23"/>
      </w:pPr>
      <w:r w:rsidRPr="00080F21">
        <w:rPr>
          <w:rFonts w:eastAsia="Times New Roman"/>
        </w:rPr>
        <w:t>3.3 Проектирование базы данных</w:t>
      </w:r>
    </w:p>
    <w:sectPr w:rsidR="0097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331AA" w14:textId="77777777" w:rsidR="00CC4A5E" w:rsidRDefault="00CC4A5E" w:rsidP="00E855F0">
      <w:r>
        <w:separator/>
      </w:r>
    </w:p>
  </w:endnote>
  <w:endnote w:type="continuationSeparator" w:id="0">
    <w:p w14:paraId="45E919D2" w14:textId="77777777" w:rsidR="00CC4A5E" w:rsidRDefault="00CC4A5E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FF30AD" w:rsidRDefault="00FF30A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49966" w14:textId="77777777" w:rsidR="00CC4A5E" w:rsidRDefault="00CC4A5E" w:rsidP="00E855F0">
      <w:r>
        <w:separator/>
      </w:r>
    </w:p>
  </w:footnote>
  <w:footnote w:type="continuationSeparator" w:id="0">
    <w:p w14:paraId="006EDE20" w14:textId="77777777" w:rsidR="00CC4A5E" w:rsidRDefault="00CC4A5E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" w15:restartNumberingAfterBreak="0">
    <w:nsid w:val="1400679C"/>
    <w:multiLevelType w:val="multilevel"/>
    <w:tmpl w:val="542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7FE5"/>
    <w:multiLevelType w:val="multilevel"/>
    <w:tmpl w:val="901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031F"/>
    <w:multiLevelType w:val="hybridMultilevel"/>
    <w:tmpl w:val="DE829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1AC41E4"/>
    <w:multiLevelType w:val="multilevel"/>
    <w:tmpl w:val="10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218B2"/>
    <w:multiLevelType w:val="multilevel"/>
    <w:tmpl w:val="47C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A18C3"/>
    <w:multiLevelType w:val="multilevel"/>
    <w:tmpl w:val="4D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9203FB"/>
    <w:multiLevelType w:val="hybridMultilevel"/>
    <w:tmpl w:val="A1FA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B9591E"/>
    <w:multiLevelType w:val="hybridMultilevel"/>
    <w:tmpl w:val="24040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B264A0"/>
    <w:multiLevelType w:val="multilevel"/>
    <w:tmpl w:val="562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5568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44364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9689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6686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056089">
    <w:abstractNumId w:val="14"/>
  </w:num>
  <w:num w:numId="6" w16cid:durableId="2064132034">
    <w:abstractNumId w:val="0"/>
  </w:num>
  <w:num w:numId="7" w16cid:durableId="1421414636">
    <w:abstractNumId w:val="7"/>
  </w:num>
  <w:num w:numId="8" w16cid:durableId="1003244633">
    <w:abstractNumId w:val="4"/>
  </w:num>
  <w:num w:numId="9" w16cid:durableId="749540619">
    <w:abstractNumId w:val="2"/>
  </w:num>
  <w:num w:numId="10" w16cid:durableId="1937445797">
    <w:abstractNumId w:val="11"/>
  </w:num>
  <w:num w:numId="11" w16cid:durableId="228003929">
    <w:abstractNumId w:val="10"/>
  </w:num>
  <w:num w:numId="12" w16cid:durableId="1692956600">
    <w:abstractNumId w:val="13"/>
  </w:num>
  <w:num w:numId="13" w16cid:durableId="1948734236">
    <w:abstractNumId w:val="5"/>
  </w:num>
  <w:num w:numId="14" w16cid:durableId="1613585885">
    <w:abstractNumId w:val="1"/>
  </w:num>
  <w:num w:numId="15" w16cid:durableId="1829318465">
    <w:abstractNumId w:val="8"/>
  </w:num>
  <w:num w:numId="16" w16cid:durableId="1811552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80F21"/>
    <w:rsid w:val="00087B46"/>
    <w:rsid w:val="000E4E87"/>
    <w:rsid w:val="002517DC"/>
    <w:rsid w:val="002830F0"/>
    <w:rsid w:val="002E2F16"/>
    <w:rsid w:val="003057CB"/>
    <w:rsid w:val="003639A2"/>
    <w:rsid w:val="003B4D41"/>
    <w:rsid w:val="003C470E"/>
    <w:rsid w:val="00507904"/>
    <w:rsid w:val="005C67C2"/>
    <w:rsid w:val="006D1EF8"/>
    <w:rsid w:val="007326EF"/>
    <w:rsid w:val="00772B21"/>
    <w:rsid w:val="00814203"/>
    <w:rsid w:val="00841B08"/>
    <w:rsid w:val="008B1F0C"/>
    <w:rsid w:val="008E6AD5"/>
    <w:rsid w:val="00975373"/>
    <w:rsid w:val="009A135B"/>
    <w:rsid w:val="009B4D61"/>
    <w:rsid w:val="009D6F3E"/>
    <w:rsid w:val="00A91641"/>
    <w:rsid w:val="00AA4878"/>
    <w:rsid w:val="00AC2B87"/>
    <w:rsid w:val="00AE540C"/>
    <w:rsid w:val="00B152F6"/>
    <w:rsid w:val="00B37C26"/>
    <w:rsid w:val="00B654A1"/>
    <w:rsid w:val="00B676DD"/>
    <w:rsid w:val="00B917DA"/>
    <w:rsid w:val="00BC29F2"/>
    <w:rsid w:val="00BF2BFA"/>
    <w:rsid w:val="00C51AD8"/>
    <w:rsid w:val="00C84D2E"/>
    <w:rsid w:val="00CC12BE"/>
    <w:rsid w:val="00CC4A5E"/>
    <w:rsid w:val="00D13E78"/>
    <w:rsid w:val="00D35C12"/>
    <w:rsid w:val="00D35EFB"/>
    <w:rsid w:val="00DB4000"/>
    <w:rsid w:val="00DE0133"/>
    <w:rsid w:val="00E00382"/>
    <w:rsid w:val="00E7207A"/>
    <w:rsid w:val="00E728D8"/>
    <w:rsid w:val="00E855F0"/>
    <w:rsid w:val="00EC23AB"/>
    <w:rsid w:val="00F3509E"/>
    <w:rsid w:val="00F56922"/>
    <w:rsid w:val="00F83A6D"/>
    <w:rsid w:val="00F85478"/>
    <w:rsid w:val="00FC5295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D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D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e">
    <w:name w:val="Титульный_Справа"/>
    <w:basedOn w:val="ac"/>
    <w:link w:val="af"/>
    <w:qFormat/>
    <w:rsid w:val="002517DC"/>
    <w:pPr>
      <w:spacing w:before="120" w:after="120"/>
      <w:ind w:left="4820" w:right="1134"/>
      <w:jc w:val="left"/>
    </w:pPr>
  </w:style>
  <w:style w:type="character" w:customStyle="1" w:styleId="ad">
    <w:name w:val="Без интервала Знак"/>
    <w:basedOn w:val="a0"/>
    <w:link w:val="ac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">
    <w:name w:val="Титульный_Справа Знак"/>
    <w:basedOn w:val="ad"/>
    <w:link w:val="ae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0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3">
    <w:name w:val="footer"/>
    <w:basedOn w:val="a"/>
    <w:link w:val="af4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87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22</cp:revision>
  <dcterms:created xsi:type="dcterms:W3CDTF">2025-04-23T03:37:00Z</dcterms:created>
  <dcterms:modified xsi:type="dcterms:W3CDTF">2025-04-27T10:07:00Z</dcterms:modified>
</cp:coreProperties>
</file>