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4517F"/>
          <w:sz w:val="22"/>
          <w:szCs w:val="22"/>
        </w:rPr>
        <w:t xml:space="preserve">ПРИЛОЖЕНИЕ</w:t>
      </w:r>
    </w:p>
    <w:p>
      <w:pPr>
        <w:spacing w:after="60"/>
      </w:pPr>
      <w:r>
        <w:rPr>
          <w:b/>
          <w:bCs/>
          <w:sz w:val="40"/>
          <w:szCs w:val="40"/>
        </w:rPr>
        <w:t xml:space="preserve">Industrial AI Operating System (Siemens × NVIDIA):</w:t>
      </w:r>
    </w:p>
    <w:p>
      <w:pPr>
        <w:spacing w:after="200"/>
      </w:pPr>
      <w:r>
        <w:rPr>
          <w:color w:val="444444"/>
          <w:sz w:val="30"/>
          <w:szCs w:val="30"/>
        </w:rPr>
        <w:t xml:space="preserve">подробный разбор платформы и её связь с двухконтурной архитектурой</w:t>
      </w:r>
    </w:p>
    <w:p>
      <w:pPr>
        <w:pBdr>
          <w:bottom w:val="single" w:color="1F6FB2" w:sz="12" w:space="4"/>
        </w:pBdr>
        <w:spacing w:after="160"/>
      </w:pPr>
      <w:r>
        <w:t xml:space="preserve"/>
      </w:r>
    </w:p>
    <w:p>
      <w:pPr>
        <w:spacing w:after="120" w:line="276"/>
      </w:pPr>
      <w:r>
        <w:rPr>
          <w:color w:val="555555"/>
          <w:sz w:val="20"/>
          <w:szCs w:val="20"/>
        </w:rPr>
        <w:t xml:space="preserve">Сопроводительный материал к статье «Новая индустриализация по-новому». Это развёрнутая версия раздела 6: как именно крупнейшие игроки реализуют ту самую двухконтурную логику («ИИ предлагает → проверка допустимости → объект получает только валидированное»), и где у них проходит граница между открытым и замкнутым контуром.</w:t>
      </w:r>
    </w:p>
    <w:p>
      <w:pPr>
        <w:spacing w:after="120" w:line="276"/>
      </w:pPr>
      <w:r>
        <w:rPr>
          <w:b/>
          <w:bCs/>
          <w:color w:val="555555"/>
          <w:sz w:val="20"/>
          <w:szCs w:val="20"/>
        </w:rPr>
        <w:t xml:space="preserve">Статус данных и честная оговорка. </w:t>
      </w:r>
      <w:r>
        <w:rPr>
          <w:color w:val="555555"/>
          <w:sz w:val="20"/>
          <w:szCs w:val="20"/>
        </w:rPr>
        <w:t xml:space="preserve">Всё ниже — по публичным анонсам Siemens и NVIDIA (CES 2026, расширение на GTC) и сопутствующим обзорам. Внутренние реализации не аудированы; жёсткие метрики подтверждены лишь для части клиентов, остальные заявлены как «оценивающие». Дата подготовки — июнь 2026; статус GA и числа стоит сверить перед публикацией.</w:t>
      </w:r>
    </w:p>
    <w:p>
      <w:pPr>
        <w:spacing w:after="80" w:before="160"/>
      </w:pPr>
      <w:r>
        <w:rPr>
          <w:b/>
          <w:bCs/>
          <w:color w:val="14517F"/>
          <w:sz w:val="24"/>
          <w:szCs w:val="24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Что объявлено и в каком статусе</w:t>
      </w:r>
    </w:p>
    <w:p>
      <w:pPr>
        <w:spacing w:after="120" w:line="276"/>
      </w:pPr>
      <w:r>
        <w:t xml:space="preserve">Платформа собиралась в два публичных шага.</w:t>
      </w:r>
    </w:p>
    <w:p>
      <w:pPr>
        <w:pStyle w:val="Heading2"/>
      </w:pPr>
      <w:r>
        <w:t xml:space="preserve">CES 2026 (6 января)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Siemens и NVIDIA объявили о расширении партнёрства для постройки </w:t>
      </w:r>
      <w:r>
        <w:rPr>
          <w:b/>
          <w:bCs/>
        </w:rPr>
        <w:t xml:space="preserve">Industrial AI Operating System</w:t>
      </w:r>
      <w:r>
        <w:t xml:space="preserve"> — связки ИИ, симуляции, цифровых двойников, автоматизации и production в единый цикл «проектирование → операции → цепочки поставок».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Головной продукт — </w:t>
      </w:r>
      <w:r>
        <w:rPr>
          <w:b/>
          <w:bCs/>
        </w:rPr>
        <w:t xml:space="preserve">Digital Twin Composer</w:t>
      </w:r>
      <w:r>
        <w:t xml:space="preserve">. По официальной странице Siemens он </w:t>
      </w:r>
      <w:r>
        <w:rPr>
          <w:b/>
          <w:bCs/>
        </w:rPr>
        <w:t xml:space="preserve">на момент анонса находится в раннем доступе (early access) у избранных клиентов</w:t>
      </w:r>
      <w:r>
        <w:t xml:space="preserve">; выход на Siemens Xcelerator Marketplace заявлен к середине 2026, региональные развёртывания (напр., Индия) — к концу 2026. Полноценный GA-статус явно не объявлен — уточните перед публикацией.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Первая «адаптивная AI-фабрика»-blueprint — </w:t>
      </w:r>
      <w:r>
        <w:rPr>
          <w:b/>
          <w:bCs/>
        </w:rPr>
        <w:t xml:space="preserve">Siemens Electronics Factory, Эрланген (Германия)</w:t>
      </w:r>
      <w:r>
        <w:t xml:space="preserve">; начало работ в 2026.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Заявлены 9 промышленных copilot-ов (engineering, compliance, manufacturing, operations).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Первые клиенты, оценивающие возможности: Foxconn, HD Hyundai, KION Group, PepsiCo.</w:t>
      </w:r>
    </w:p>
    <w:p>
      <w:pPr>
        <w:pStyle w:val="Heading2"/>
      </w:pPr>
      <w:r>
        <w:t xml:space="preserve">GTC (расширение экосистемы)</w:t>
      </w:r>
    </w:p>
    <w:p>
      <w:pPr>
        <w:spacing w:after="120" w:line="276"/>
      </w:pPr>
      <w:r>
        <w:t xml:space="preserve">Это не двусторонняя сделка, а платформа: NVIDIA одновременно подключила </w:t>
      </w:r>
      <w:r>
        <w:rPr>
          <w:b/>
          <w:bCs/>
        </w:rPr>
        <w:t xml:space="preserve">5 software-вендоров + 11 производителей + 4 облака + 12 robotics-компаний</w:t>
      </w:r>
      <w:r>
        <w:t xml:space="preserve">. Вендоры конкурируют между собой за платформу — отраслевые обзоры (не официальные пресс-релизы) описывают это как «CUDA-момент для manufacturing».</w:t>
      </w:r>
    </w:p>
    <w:p>
      <w:pPr>
        <w:pBdr>
          <w:left w:val="single" w:color="1F6FB2" w:sz="18" w:space="12"/>
        </w:pBdr>
        <w:spacing w:after="120" w:before="80" w:line="276"/>
        <w:ind w:left="360"/>
      </w:pPr>
      <w:r>
        <w:rPr>
          <w:i/>
          <w:iCs/>
        </w:rPr>
        <w:t xml:space="preserve">«Industrial AI is no longer a feature; it's a force that will reshape the next century.»</w:t>
      </w:r>
      <w:r>
        <w:rPr>
          <w:i/>
          <w:iCs/>
          <w:color w:val="666666"/>
          <w:sz w:val="20"/>
          <w:szCs w:val="20"/>
        </w:rPr>
        <w:t xml:space="preserve">  — Roland Busch, CEO Siemens</w:t>
      </w:r>
    </w:p>
    <w:p>
      <w:pPr>
        <w:pStyle w:val="Heading1"/>
      </w:pPr>
      <w:r>
        <w:t xml:space="preserve">2. «Industrial AI OS» — честное определение</w:t>
      </w:r>
    </w:p>
    <w:p>
      <w:pPr>
        <w:spacing w:after="120" w:line="276"/>
      </w:pPr>
      <w:r>
        <w:t xml:space="preserve">Важно не обмануться термином. На CES это описывалось как </w:t>
      </w:r>
      <w:r>
        <w:rPr>
          <w:b/>
          <w:bCs/>
        </w:rPr>
        <w:t xml:space="preserve">организующий фреймворк</w:t>
      </w:r>
      <w:r>
        <w:t xml:space="preserve">, а не как готовый к развёртыванию монолитный продукт: формальной исполняемой спецификации «ОС» компании не раскрыли. Реальный продукт под зонтиком — Digital Twin Composer; остальное — портфель, framework и blueprint-ы.</w:t>
      </w:r>
    </w:p>
    <w:p>
      <w:pPr>
        <w:spacing w:after="120" w:line="276"/>
      </w:pPr>
      <w:r>
        <w:t xml:space="preserve">Термин «Operating System» в анонсах используется в </w:t>
      </w:r>
      <w:r>
        <w:rPr>
          <w:b/>
          <w:bCs/>
        </w:rPr>
        <w:t xml:space="preserve">метафорическом смысле</w:t>
      </w:r>
      <w:r>
        <w:t xml:space="preserve"> — как обозначение слоя координации экосистемы, ИИ-агентов и цифровых двойников, а не как название конкретного программного продукта с чётко определённым набором системных вызовов, API и спецификацией.</w:t>
      </w:r>
    </w:p>
    <w:p>
      <w:pPr>
        <w:spacing w:after="120" w:line="276"/>
      </w:pPr>
      <w:r>
        <w:t xml:space="preserve">Почему альянс логичен (взаимодополнение):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у Siemens — полный промышленный стек (PLM Teamcenter, симуляция Simcenter/STAR-CCM+, MES Opcenter, автоматизация SIMATIC, Industrial Edge) и крупнейший портфель цифровых двойников, но нет GPU-compute, AI-inference и real-time 3D;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у NVIDIA — Omniverse, GPU и физический ИИ, но нет промышленной доменной экспертизы и OT/automation-стека.</w:t>
      </w:r>
    </w:p>
    <w:p>
      <w:pPr>
        <w:spacing w:after="120" w:line="276"/>
      </w:pPr>
      <w:r>
        <w:t xml:space="preserve">Партнёрство закрывает экзистенциальный gap каждой стороны — отсюда и масштаб заявки.</w:t>
      </w:r>
    </w:p>
    <w:p>
      <w:pPr>
        <w:pStyle w:val="Heading1"/>
      </w:pPr>
      <w:r>
        <w:t xml:space="preserve">3. Архитектура: 4 примитива NVIDIA + слой Siemens</w:t>
      </w:r>
    </w:p>
    <w:p>
      <w:pPr>
        <w:spacing w:after="120" w:line="276"/>
      </w:pPr>
      <w:r>
        <w:t xml:space="preserve">Принцип Дженсена — не строить монолит, а дать 4 «примитива» и позволить вендорам обернуть их в свои продукты (логика CUDA: NVIDIA даёт инфраструктуру, не приложения). Поверх лежит доменный слой Siemens Xcelerator.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Примитив NVIDIA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Технологии / роль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/ OpenUSD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3D-сцена, цифровой двойник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Kit SDK, Nucleus, Connect; OpenUSD как единый формат (решает 20-летнюю проблему форматов в PLM)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PhysicsNeMo / PhysX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AI-физика и симуляция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Дифференцируемая физика, generative simulation; CFD, механика, кинематика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NeMo / NIM / Nemotron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Инференс, LLM, агенты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Open-модели, CUDA-X, NIM-микросервисы; ИИ-агенты в инженерных воркфлоу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Isaac / Jetson / Metropolis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Edge и робототехника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Isaac Sim/Lab, Jetson-модули, computer vision на камерах и контроллерах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Слой Siemens (Xcelerator): </w:t>
      </w:r>
      <w:r>
        <w:t xml:space="preserve">инженерный уровень — NX, Teamcenter, Simcenter, EDA; операционный — SIMATIC, SCADA, Opcenter MES/MOM, Industrial Edge; связующий — Digital Twin Composer.</w:t>
      </w:r>
    </w:p>
    <w:p>
      <w:pPr>
        <w:spacing w:after="120" w:line="276"/>
      </w:pPr>
      <w:r>
        <w:rPr>
          <w:b/>
          <w:bCs/>
        </w:rPr>
        <w:t xml:space="preserve">Конвейер данных: </w:t>
      </w:r>
      <w:r>
        <w:t xml:space="preserve">геометрия идёт JT (lightweight 3D в Teamcenter) и STEP → конвертируется в USD/OpenUSD через CAD-коннекторы; Teamcenter остаётся system of record, Omniverse — рендер/симуляционный слой (Omniverse Kit/Connect API).</w:t>
      </w:r>
    </w:p>
    <w:p>
      <w:pPr>
        <w:pStyle w:val="Heading1"/>
      </w:pPr>
      <w:r>
        <w:t xml:space="preserve">4. «AI Brain» — и почему это и есть двухконтурная логика</w:t>
      </w:r>
    </w:p>
    <w:p>
      <w:pPr>
        <w:spacing w:after="120" w:line="276"/>
      </w:pPr>
      <w:r>
        <w:t xml:space="preserve">В анонсах Siemens и NVIDIA этот уровень прямо называют </w:t>
      </w:r>
      <w:r>
        <w:rPr>
          <w:b/>
          <w:bCs/>
        </w:rPr>
        <w:t xml:space="preserve">«AI Brain»</w:t>
      </w:r>
      <w:r>
        <w:t xml:space="preserve">: опираясь на Omniverse и industrial operations software Siemens, он постоянно анализирует цифровой двойник и генерирует предложения для реального производства.</w:t>
      </w:r>
    </w:p>
    <w:p>
      <w:pPr>
        <w:spacing w:after="120" w:line="276"/>
      </w:pPr>
      <w:r>
        <w:t xml:space="preserve">Суть «адаптивной фабрики»: завод непрерывно анализирует свой цифровой двойник, проверяет улучшения виртуально и превращает </w:t>
      </w:r>
      <w:r>
        <w:rPr>
          <w:b/>
          <w:bCs/>
        </w:rPr>
        <w:t xml:space="preserve">только валидированные</w:t>
      </w:r>
      <w:r>
        <w:t xml:space="preserve"> инсайты в изменения на shopfloor. Компоненты: software-defined automation (SIMATIC) + industrial operations software (Opcenter) + библиотеки Omniverse + GPU-инфраструктура + computer vision (Metropolis) + симуляция (PhysicsNeMo).</w:t>
      </w:r>
    </w:p>
    <w:p>
      <w:pPr>
        <w:spacing w:after="120" w:line="276"/>
      </w:pPr>
      <w:r>
        <w:t xml:space="preserve">Если убрать маркетинг, процесс — ровно два контура из статьи: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открытый контур</w:t>
      </w:r>
      <w:r>
        <w:t xml:space="preserve"> — ИИ-агенты предлагают вариант (изменение уставки, логики, компоновки);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замкнутый контур</w:t>
      </w:r>
      <w:r>
        <w:t xml:space="preserve"> — цифровой двойник + физическая симуляция проверяют, что будет в виртуальной среде, и решают, можно ли пускать дальше;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объект</w:t>
      </w:r>
      <w:r>
        <w:t xml:space="preserve"> — физическая площадка получает только уже валидированное изменение.</w:t>
      </w:r>
    </w:p>
    <w:p>
      <w:pPr>
        <w:spacing w:after="120" w:line="276"/>
      </w:pPr>
      <w:r>
        <w:rPr>
          <w:b/>
          <w:bCs/>
        </w:rPr>
        <w:t xml:space="preserve">Ключевой вывод для статьи: </w:t>
      </w:r>
      <w:r>
        <w:t xml:space="preserve">даже гиганты с огромными бюджетами не доверяют ИИ напрямую. Цифровой двойник у них играет роль </w:t>
      </w:r>
      <w:r>
        <w:rPr>
          <w:b/>
          <w:bCs/>
        </w:rPr>
        <w:t xml:space="preserve">дорогого sound-оракула</w:t>
      </w:r>
      <w:r>
        <w:t xml:space="preserve">; на заводе без GPU ту же роль играют AST, словари и правила. Масштаб разный — принцип один: вероятностный контур не имеет прямого доступа к объекту.</w:t>
      </w:r>
    </w:p>
    <w:p>
      <w:pPr>
        <w:pStyle w:val="Heading1"/>
      </w:pPr>
      <w:r>
        <w:t xml:space="preserve">5. Экосистема партнёров</w:t>
      </w:r>
    </w:p>
    <w:p>
      <w:pPr>
        <w:pStyle w:val="Heading2"/>
      </w:pPr>
      <w:r>
        <w:t xml:space="preserve">5 software-вендоров и их ИИ-агенты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Вендор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ИИ-агент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Специализация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Cadence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ChipStack AI SuperAgent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EDA: верификация, layout, debug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Synopsys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AgentEngineer framework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Мультиагентная EDA-оркестрация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Siemens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Fuse EDA AI Agent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Полный workflow «от чипа до PCB»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Dassault Systèmes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Virtual Companions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Роли по workflow на 3DEXPERIENCE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PTC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Onshape → Isaac Sim bridge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Мост CAD → цифровой двойник (OpenUSD)</w:t>
            </w:r>
          </w:p>
        </w:tc>
      </w:tr>
    </w:tbl>
    <w:p>
      <w:pPr>
        <w:pStyle w:val="Heading2"/>
      </w:pPr>
      <w:r>
        <w:t xml:space="preserve">Производители, облака, робототехника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11 manufacturers: </w:t>
      </w:r>
      <w:r>
        <w:t xml:space="preserve">FANUC, HD Hyundai, Honda, JLR, KION, Mercedes-Benz, MediaTek, PepsiCo, Samsung, SK hynix, TSMC.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4 облака: </w:t>
      </w:r>
      <w:r>
        <w:t xml:space="preserve">AWS, Google Cloud, Microsoft Azure, Oracle Cloud Infrastructure (Siemens принципиально не-эксклюзивен).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12 robotics: </w:t>
      </w:r>
      <w:r>
        <w:t xml:space="preserve">ABB, AGIBOT, Agility, FANUC, Figure, Hexagon, KUKA, Skild AI, Universal Robots, World Labs, YASKAWA, Franka Robotics.</w:t>
      </w:r>
    </w:p>
    <w:p>
      <w:pPr>
        <w:pStyle w:val="Heading1"/>
      </w:pPr>
      <w:r>
        <w:t xml:space="preserve">6. Конкретные кейсы с цифрами</w:t>
      </w:r>
    </w:p>
    <w:p>
      <w:pPr>
        <w:spacing w:after="120" w:line="276"/>
      </w:pPr>
      <w:r>
        <w:t xml:space="preserve">Жёсткие метрики подтверждены для части клиентов; остальные — «evaluating» без чисел. Самый раскрытый кейс — PepsiCo.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Кейс / компания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Стек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Результат (по анонсам и обзорам)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PepsiCo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Digital Twin Composer + Omniverse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до ~90% проблем выявляется виртуально; до ~20% прироста throughput на первых внедрениях; высокая доля валидации дизайна; снижение Capex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Honda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Grace Blackwell / CFD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ускорение аэродинамической симуляции на порядок (заявлено до ~34× относительно CPU)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MediaTek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Cadence Spectre / H100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многократное ускорение моделирования схем (до ~6× в отдельных сценариях)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Samsung, SK hynix, TSMC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 на Cadence/Synopsys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GPU-ускоренная литография и верификация (метрики зависят от процесса, не всегда раскрыты)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KION + Accenture + GXO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+ Isaac + Jetson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physics-accurate twins склада → обучение агентов → автономные погрузчики на Jetson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Важно: </w:t>
      </w:r>
      <w:r>
        <w:t xml:space="preserve">указанные проценты относятся к </w:t>
      </w:r>
      <w:r>
        <w:rPr>
          <w:b/>
          <w:bCs/>
        </w:rPr>
        <w:t xml:space="preserve">первым пилотным проектам и узким сценариям</w:t>
      </w:r>
      <w:r>
        <w:t xml:space="preserve">, а не являются формально гарантируемыми метриками для любых внедрений. Это стоит явно отметить, чтобы избежать некорректной экстраполяции. KION назван самым сложным multi-partner-развёртыванием, но технические детали публично не раскрыты.</w:t>
      </w:r>
    </w:p>
    <w:p>
      <w:pPr>
        <w:pStyle w:val="Heading1"/>
      </w:pPr>
      <w:r>
        <w:t xml:space="preserve">7. Точное отображение на двухконтурную модель статьи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Элемент статьи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У Siemens × NVIDIA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Открытый контур (soft)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ИИ-агенты: генерация, оптимизация, рекомендации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Не имеет прямого доступа к объекту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Замкнутый контур (hard)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Цифровой двойник + физическая симуляция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Дорогой sound-оракул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Sound-оракул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Поверенная physics-симуляция в Omniverse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На ноутбуке роль играют AST + правила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Выход в объект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Только валидированное изменение → shopfloor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Default-deny по сути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Цена робастности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GPU-фермы, интеграторы, годы внедрения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Гарантия стоит дорого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Модель ответственности. </w:t>
      </w:r>
      <w:r>
        <w:t xml:space="preserve">В текущих анонсах нет идеи прямого замыкания ИИ-агентов на исполнительный контур. Агенты работают в открытом контуре, формируя гипотезы и планы; решение о применении изменений в физическом мире оформляется через традиционные инженерные механизмы — верификацию сценариев, согласование через PLM/MES и явные заявки на изменение (change-requests). Юридическая и регуляторная ответственность остаётся привязанной к этим процессам и к утверждающим лицам, а не к ИИ-агентам как таковым.</w:t>
      </w:r>
    </w:p>
    <w:p>
      <w:pPr>
        <w:pStyle w:val="Heading1"/>
      </w:pPr>
      <w:r>
        <w:t xml:space="preserve">8. Риски и честные оговорки (для текста статьи)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«Industrial AI OS» — организующий фреймворк, а не deployable-продукт; Digital Twin Composer на момент анонса — в раннем доступе у избранных клиентов, выход на Marketplace — к середине 2026.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Эрланген — </w:t>
      </w:r>
      <w:r>
        <w:rPr>
          <w:b/>
          <w:bCs/>
        </w:rPr>
        <w:t xml:space="preserve">витринный объект</w:t>
      </w:r>
      <w:r>
        <w:t xml:space="preserve"> с высокой цифровой зрелостью (собственный завод Siemens), а не «обычный» цех; перенос blueprint-а в неизменном виде на средний завод неочевиден.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Reality check: по оценкам ~80% промпредприятий всё ещё на SCADA + Excel — разрыв между vision и реальностью огромный.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Data sovereignty: двойники содержат IP завода, а Omniverse Cloud — инфраструктура NVIDIA; GDPR / европейский закон об ИИ толкают к on-prem и гибридным схемам.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Регуляторный фон: </w:t>
      </w:r>
      <w:r>
        <w:t xml:space="preserve">европейский закон об ИИ (Регламент ЕС 2024/1689) относит многие промышленные системы управления к high-risk. Это стимулирует архитектуры, где обучаемые компоненты отделены от safety-критичного контура чёткой границей ответственности. Industrial AI OS даёт «регуляторно-совместимую» интерпретацию: ИИ — на уровне рекомендаций и оптимизации, выполнение — через традиционные IEC-совместимые цепочки управления.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Геополитика и дефицит GPU: </w:t>
      </w:r>
      <w:r>
        <w:t xml:space="preserve">экспортные ограничения и нехватка ускорителей делают тиражирование Omniverse-класса двойников в ряде юрисдикций экономически или политически затруднительным. Подход «AST + словари + правила» оптимизирован под CPU и air-gap — это делает нижний контур не «бедным родственником», а стратегически устойчивым паттерном при ограниченном доступе к железу.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Конкуренция облаков за тот же слой: AWS TwinMaker, Azure Digital Twins, Google Manufacturing.</w:t>
      </w:r>
    </w:p>
    <w:p>
      <w:pPr>
        <w:pStyle w:val="Heading1"/>
      </w:pPr>
      <w:r>
        <w:t xml:space="preserve">9. Что это даёт статье</w:t>
      </w:r>
    </w:p>
    <w:p>
      <w:pPr>
        <w:spacing w:after="120" w:line="276"/>
      </w:pPr>
      <w:r>
        <w:t xml:space="preserve">Платформа Siemens × NVIDIA — прямое внешнее подтверждение двухконтурной идеи: цифровой двойник = замкнутый проверяющий контур (дорогой sound-оракул), генеративные агенты = открытый контур, в физический объект уходит только валидированное изменение. Раздел 6 статьи это и фиксирует.</w:t>
      </w:r>
    </w:p>
    <w:p>
      <w:pPr>
        <w:spacing w:after="120" w:line="276"/>
      </w:pPr>
      <w:r>
        <w:t xml:space="preserve">Контраст, который усиливает позиционирование bottom-up подхода: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Метрика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Siemens × NVIDIA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Инструмент «инженер + ноутбук»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Масштаб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Завод / холдинг, десятки линий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Отдельный узел, станция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Входной билет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Миллионы $, годы, Accenture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Ноутбук, локальный сервер, недели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Sound-оракул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Цифровой двойник + симуляция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AST + словари + правила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Где крутится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Облака + on-prem кластеры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Полностью локально (air-gap)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Роль ИИ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Агенты по жизненному циклу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Ассистент, жёстко ограниченный правилами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Усиленный вывод. </w:t>
      </w:r>
      <w:r>
        <w:t xml:space="preserve">Партнёрство Siemens × NVIDIA не опровергает, а подтверждает тезис статьи: индустрия строит не «ИИ, управляющий заводом напрямую», а двухконтурные системы, где вероятностный ИИ ограничен уровнем предложений, а доступ к объекту проходит через дорогой, но проверяемый sound-оракул и традиционные механизмы инженерного контроля. На вершине рынка эту роль играет GPU-ускоренный цифровой двойник, внизу — статический анализ, модели кода и жёсткие правила. Различаются масштаб и стоимость реализации, но не принцип: </w:t>
      </w:r>
      <w:r>
        <w:rPr>
          <w:b/>
          <w:bCs/>
        </w:rPr>
        <w:t xml:space="preserve">вероятностный контур не имеет собственного актуатора.</w:t>
      </w:r>
    </w:p>
    <w:p>
      <w:pPr>
        <w:spacing w:after="120" w:line="276"/>
      </w:pPr>
      <w:r>
        <w:t xml:space="preserve">Вывод: это не конкуренты, а один паттерн на разных рынках. Локальные валидаторы кода на AST и правилах реализуют тот же архитектурный паттерн в существенно более дешёвом и регуляторно простом варианте — вплоть до отдельных ПЛК и линий с ограниченными ресурсами.</w:t>
      </w:r>
    </w:p>
    <w:p>
      <w:pPr>
        <w:pStyle w:val="Heading1"/>
      </w:pPr>
      <w:r>
        <w:t xml:space="preserve">10. Источники (публичные анонсы и обзоры)</w:t>
      </w:r>
    </w:p>
    <w:p>
      <w:pPr>
        <w:spacing w:after="80" w:line="264"/>
        <w:ind w:left="360" w:hanging="360"/>
      </w:pPr>
      <w:r>
        <w:rPr>
          <w:b/>
          <w:bCs/>
        </w:rPr>
        <w:t xml:space="preserve">1. </w:t>
      </w:r>
      <w:r>
        <w:t xml:space="preserve">Siemens (06.01.2026). Siemens unveils technologies to accelerate the industrial AI revolution at CES 2026. </w:t>
      </w:r>
      <w:hyperlink w:history="1" r:id="rIdb0cvi5ooo-0ltsuvtjuyn">
        <w:r>
          <w:rPr>
            <w:rStyle w:val="Hyperlink"/>
          </w:rPr>
          <w:t xml:space="preserve">press.siemens.com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2. </w:t>
      </w:r>
      <w:r>
        <w:t xml:space="preserve">NVIDIA Newsroom. Siemens and NVIDIA Expand Partnership to Build the Industrial AI Operating System. </w:t>
      </w:r>
      <w:hyperlink w:history="1" r:id="rIdco-qnbq-spevxubmuwd-c">
        <w:r>
          <w:rPr>
            <w:rStyle w:val="Hyperlink"/>
          </w:rPr>
          <w:t xml:space="preserve">nvidianews.nvidia.com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3. </w:t>
      </w:r>
      <w:r>
        <w:t xml:space="preserve">Siemens. Digital Twin Composer (CES 2026). </w:t>
      </w:r>
      <w:hyperlink w:history="1" r:id="rId1i50e7vj8oj43uiingguv">
        <w:r>
          <w:rPr>
            <w:rStyle w:val="Hyperlink"/>
          </w:rPr>
          <w:t xml:space="preserve">news.siemens.com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4. </w:t>
      </w:r>
      <w:r>
        <w:t xml:space="preserve">Siemens &amp; NVIDIA. Expand partnership to build Industrial AI Operating System. </w:t>
      </w:r>
      <w:hyperlink w:history="1" r:id="rId6f_ezlgqin4jjtupway56">
        <w:r>
          <w:rPr>
            <w:rStyle w:val="Hyperlink"/>
          </w:rPr>
          <w:t xml:space="preserve">press.siemens.com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5. </w:t>
      </w:r>
      <w:r>
        <w:t xml:space="preserve">NVIDIA. Case study: Siemens accelerates product development with industrial AI. </w:t>
      </w:r>
      <w:hyperlink w:history="1" r:id="rIdvnjtp2orkn0ddwjp5jaay">
        <w:r>
          <w:rPr>
            <w:rStyle w:val="Hyperlink"/>
          </w:rPr>
          <w:t xml:space="preserve">nvidia.com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6. </w:t>
      </w:r>
      <w:r>
        <w:t xml:space="preserve">Interesting Engineering (06.01.2026). Siemens, NVIDIA to build AI operating system. </w:t>
      </w:r>
      <w:hyperlink w:history="1" r:id="rId_d3uzqfhsplljrjstzayy">
        <w:r>
          <w:rPr>
            <w:rStyle w:val="Hyperlink"/>
          </w:rPr>
          <w:t xml:space="preserve">interestingengineering.com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7. </w:t>
      </w:r>
      <w:r>
        <w:t xml:space="preserve">Metrology.news. Siemens and NVIDIA unveil Industrial AI Operating System. </w:t>
      </w:r>
      <w:hyperlink w:history="1" r:id="rIdv289tktzi5qssv7hcyxz4">
        <w:r>
          <w:rPr>
            <w:rStyle w:val="Hyperlink"/>
          </w:rPr>
          <w:t xml:space="preserve">metrology.news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8. </w:t>
      </w:r>
      <w:r>
        <w:t xml:space="preserve">Engineering.com. Siemens and NVIDIA building next-gen Industrial AI Operating System. </w:t>
      </w:r>
      <w:hyperlink w:history="1" r:id="rId-vodxqujcqcs0trjp8z5p">
        <w:r>
          <w:rPr>
            <w:rStyle w:val="Hyperlink"/>
          </w:rPr>
          <w:t xml:space="preserve">engineering.com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9. </w:t>
      </w:r>
      <w:r>
        <w:t xml:space="preserve">Siemens. Digital Transformers: Electronics Factory Erlangen. </w:t>
      </w:r>
      <w:hyperlink w:history="1" r:id="rIdks9cgu_mg3w_vbgjlw8fy">
        <w:r>
          <w:rPr>
            <w:rStyle w:val="Hyperlink"/>
          </w:rPr>
          <w:t xml:space="preserve">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10. </w:t>
      </w:r>
      <w:r>
        <w:t xml:space="preserve">NVIDIA Developer. Isaac platform (robotics, edge). </w:t>
      </w:r>
      <w:hyperlink w:history="1" r:id="rIdd0cpi3tngxvh65rz51nm_">
        <w:r>
          <w:rPr>
            <w:rStyle w:val="Hyperlink"/>
          </w:rPr>
          <w:t xml:space="preserve">developer.nvidia.com</w:t>
        </w:r>
      </w:hyperlink>
    </w:p>
    <w:p>
      <w:pPr>
        <w:spacing w:before="120"/>
      </w:pPr>
      <w:r>
        <w:rPr>
          <w:i/>
          <w:iCs/>
          <w:color w:val="666666"/>
          <w:sz w:val="19"/>
          <w:szCs w:val="19"/>
        </w:rPr>
        <w:t xml:space="preserve">Примечание: «середина 2026» для Digital Twin Composer = примерно текущий момент; сверьте фактический GA-статус и числовые метрики кейсов на дату публикации статьи.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стр.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color w:val="999999"/>
        <w:sz w:val="16"/>
        <w:szCs w:val="16"/>
      </w:rPr>
      <w:t xml:space="preserve">Приложение · Industrial AI OS (Siemens × NVIDIA)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5D5D5" w:sz="6" w:space="6"/>
      </w:pBdr>
      <w:spacing w:after="140" w:before="280"/>
      <w:outlineLvl w:val="0"/>
    </w:pPr>
    <w:rPr>
      <w:rFonts w:ascii="Arial" w:cs="Arial" w:eastAsia="Arial" w:hAnsi="Arial"/>
      <w:b/>
      <w:bCs/>
      <w:color w:val="14517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B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0cvi5ooo-0ltsuvtjuyn" Type="http://schemas.openxmlformats.org/officeDocument/2006/relationships/hyperlink" Target="https://press.siemens.com/global/en/pressrelease/siemens-unveils-technologies-accelerate-industrial-ai-revolution-ces-2026" TargetMode="External"/><Relationship Id="rIdco-qnbq-spevxubmuwd-c" Type="http://schemas.openxmlformats.org/officeDocument/2006/relationships/hyperlink" Target="https://nvidianews.nvidia.com/news/siemens-and-nvidia-expand-partnership-industrial-ai-operating-system" TargetMode="External"/><Relationship Id="rId1i50e7vj8oj43uiingguv" Type="http://schemas.openxmlformats.org/officeDocument/2006/relationships/hyperlink" Target="https://news.siemens.com/en-us/digital-twin-composer-ces-2026/" TargetMode="External"/><Relationship Id="rId6f_ezlgqin4jjtupway56" Type="http://schemas.openxmlformats.org/officeDocument/2006/relationships/hyperlink" Target="https://press.siemens.com/global/en/pressrelease/siemens-and-nvidia-expand-partnership-build-industrial-ai-operating-system" TargetMode="External"/><Relationship Id="rIdvnjtp2orkn0ddwjp5jaay" Type="http://schemas.openxmlformats.org/officeDocument/2006/relationships/hyperlink" Target="https://www.nvidia.com/en-us/case-studies/siemens-accelerates-product-development-and-innovation-with-industrial-ai/" TargetMode="External"/><Relationship Id="rId_d3uzqfhsplljrjstzayy" Type="http://schemas.openxmlformats.org/officeDocument/2006/relationships/hyperlink" Target="https://interestingengineering.com/ai-robotics/siemens-nvidia-industrial-ai-operating-system" TargetMode="External"/><Relationship Id="rIdv289tktzi5qssv7hcyxz4" Type="http://schemas.openxmlformats.org/officeDocument/2006/relationships/hyperlink" Target="https://metrology.news/siemens-and-nvidia-unveil-industrial-ai-operating-system-paving-the-way-for-ai-driven-factories/" TargetMode="External"/><Relationship Id="rId-vodxqujcqcs0trjp8z5p" Type="http://schemas.openxmlformats.org/officeDocument/2006/relationships/hyperlink" Target="https://www.engineering.com/siemens-and-nvidia-building-next-gen-industrial-ai-operating-system/" TargetMode="External"/><Relationship Id="rIdks9cgu_mg3w_vbgjlw8fy" Type="http://schemas.openxmlformats.org/officeDocument/2006/relationships/hyperlink" Target="https://www.siemens.com/en-us/campaigns/digital-transformers-electronics-factory-erlangen/" TargetMode="External"/><Relationship Id="rIdd0cpi3tngxvh65rz51nm_" Type="http://schemas.openxmlformats.org/officeDocument/2006/relationships/hyperlink" Target="https://developer.nvidia.com/isaac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2026-06-03T07:01:32.078Z</dcterms:created>
  <dcterms:modified xsi:type="dcterms:W3CDTF">2026-06-03T07:01:32.095Z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