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4517F"/>
          <w:sz w:val="22"/>
          <w:szCs w:val="22"/>
        </w:rPr>
        <w:t xml:space="preserve">ПРИЛОЖЕНИЕ A</w:t>
      </w:r>
    </w:p>
    <w:p>
      <w:pPr>
        <w:spacing w:after="60"/>
      </w:pPr>
      <w:r>
        <w:rPr>
          <w:b/>
          <w:bCs/>
          <w:sz w:val="36"/>
          <w:szCs w:val="36"/>
        </w:rPr>
        <w:t xml:space="preserve">Теория двухконтурной архитектуры</w:t>
      </w:r>
    </w:p>
    <w:p>
      <w:pPr>
        <w:spacing w:after="180"/>
      </w:pPr>
      <w:r>
        <w:rPr>
          <w:i/>
          <w:iCs/>
          <w:color w:val="444444"/>
          <w:sz w:val="26"/>
          <w:szCs w:val="26"/>
        </w:rPr>
        <w:t xml:space="preserve">Словарь терминов статьи и рекомендации с пометкой обоснованности</w:t>
      </w:r>
    </w:p>
    <w:p>
      <w:pPr>
        <w:pBdr>
          <w:bottom w:val="single" w:color="1F6FB2" w:sz="12" w:space="4"/>
        </w:pBdr>
        <w:spacing w:after="160"/>
      </w:pPr>
      <w:r>
        <w:t xml:space="preserve"/>
      </w:r>
    </w:p>
    <w:p>
      <w:pPr>
        <w:spacing w:after="120" w:line="276"/>
      </w:pPr>
      <w:r>
        <w:t xml:space="preserve">Это «мост» между простым языком статьи и строгими понятиями. Каждый термин статьи здесь раскрыт (§1), а каждая рекомендация помечена по статусу — что именно </w:t>
      </w:r>
      <w:r>
        <w:rPr>
          <w:b/>
          <w:bCs/>
        </w:rPr>
        <w:t xml:space="preserve">доказано теорией</w:t>
      </w:r>
      <w:r>
        <w:t xml:space="preserve">, а что является инженерным следствием или нормой. Цель — чтобы читатель не путал доказанный факт с разумной практикой.</w:t>
      </w:r>
    </w:p>
    <w:p>
      <w:pPr>
        <w:spacing w:after="120" w:line="276"/>
      </w:pPr>
      <w:r>
        <w:rPr>
          <w:b/>
          <w:bCs/>
        </w:rPr>
        <w:t xml:space="preserve">Как читать пометки:</w:t>
      </w:r>
    </w:p>
    <w:p>
      <w:pPr>
        <w:spacing w:after="40"/>
      </w:pPr>
      <w:r>
        <w:rPr>
          <w:b/>
          <w:bCs/>
          <w:color w:val="2E7D32"/>
          <w:sz w:val="17"/>
          <w:szCs w:val="17"/>
        </w:rPr>
        <w:t xml:space="preserve"> [ФАКТ] </w:t>
      </w:r>
      <w:r>
        <w:t xml:space="preserve">— математически доказанное утверждение или прямое следствие определения.</w:t>
      </w:r>
    </w:p>
    <w:p>
      <w:pPr>
        <w:spacing w:after="40"/>
      </w:pPr>
      <w:r>
        <w:rPr>
          <w:b/>
          <w:bCs/>
          <w:color w:val="1F6FB2"/>
          <w:sz w:val="17"/>
          <w:szCs w:val="17"/>
        </w:rPr>
        <w:t xml:space="preserve"> [СЛЕДСТВИЕ] </w:t>
      </w:r>
      <w:r>
        <w:t xml:space="preserve">— логически следует из факта при явно названном условии.</w:t>
      </w:r>
    </w:p>
    <w:p>
      <w:pPr>
        <w:spacing w:after="40"/>
      </w:pPr>
      <w:r>
        <w:rPr>
          <w:b/>
          <w:bCs/>
          <w:color w:val="B26B00"/>
          <w:sz w:val="17"/>
          <w:szCs w:val="17"/>
        </w:rPr>
        <w:t xml:space="preserve"> [РЕКОМЕНДАЦИЯ] </w:t>
      </w:r>
      <w:r>
        <w:t xml:space="preserve">— инженерная практика, согласованная с теорией и нормами, но не являющаяся теоремой.</w:t>
      </w:r>
    </w:p>
    <w:p>
      <w:pPr>
        <w:spacing w:after="40"/>
      </w:pPr>
      <w:r>
        <w:rPr>
          <w:b/>
          <w:bCs/>
          <w:color w:val="555555"/>
          <w:sz w:val="17"/>
          <w:szCs w:val="17"/>
        </w:rPr>
        <w:t xml:space="preserve"> [ЭМПИРИКА] </w:t>
      </w:r>
      <w:r>
        <w:t xml:space="preserve">— подтверждено опубликованными экспериментами, а не доказано.</w:t>
      </w:r>
    </w:p>
    <w:p>
      <w:pPr>
        <w:spacing w:after="40"/>
      </w:pPr>
      <w:r>
        <w:rPr>
          <w:b/>
          <w:bCs/>
          <w:color w:val="6A1B9A"/>
          <w:sz w:val="17"/>
          <w:szCs w:val="17"/>
        </w:rPr>
        <w:t xml:space="preserve"> [НОРМА] </w:t>
      </w:r>
      <w:r>
        <w:t xml:space="preserve">— требование стандарта или закона.</w:t>
      </w:r>
    </w:p>
    <w:p>
      <w:pPr>
        <w:spacing w:after="120"/>
      </w:pPr>
      <w:r>
        <w:rPr>
          <w:b/>
          <w:bCs/>
          <w:color w:val="B23A48"/>
          <w:sz w:val="17"/>
          <w:szCs w:val="17"/>
        </w:rPr>
        <w:t xml:space="preserve"> [НЕ ТЕОРЕМА] </w:t>
      </w:r>
      <w:r>
        <w:t xml:space="preserve">— часто встречающееся утверждение, которое теория НЕ доказывает (важно не выдавать за доказанное).</w:t>
      </w:r>
    </w:p>
    <w:p>
      <w:pPr>
        <w:spacing w:after="120" w:line="276"/>
      </w:pPr>
      <w:r>
        <w:rPr>
          <w:b/>
          <w:bCs/>
        </w:rPr>
        <w:t xml:space="preserve">Связь документов.</w:t>
      </w:r>
      <w:r>
        <w:t xml:space="preserve"> Статья даёт интуицию и таблицы решений; это приложение — обоснования; Приложение B — индустриальный пример (Siemens × NVIDIA). Термины во всех трёх совпадают: см. словарь §1.</w:t>
      </w:r>
    </w:p>
    <w:p>
      <w:pPr>
        <w:spacing w:after="80" w:before="140"/>
      </w:pPr>
      <w:r>
        <w:rPr>
          <w:b/>
          <w:bCs/>
          <w:color w:val="14517F"/>
          <w:sz w:val="24"/>
          <w:szCs w:val="24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Словарь: термин статьи → строгое понятие → где раскрыт</w:t>
      </w:r>
    </w:p>
    <w:p>
      <w:pPr>
        <w:spacing w:after="120" w:line="276"/>
      </w:pPr>
      <w:r>
        <w:t xml:space="preserve">Левый столбец — слова, которыми пользуется статья. Средний — строгое понятие. Правый — раздел этого приложения.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0"/>
        <w:gridCol w:w="200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Термин в статье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Что это строго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Раздел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«угадывающая» модель, нейросеть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вероятностная модель: минимизирует ожидание потерь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§3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открытый контур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слой генерации и предложений, без доступа к оборудованию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§3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замкнутый контур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слой детерминированной проверки допустимости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§4, §8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жёсткое требование («так нельзя никогда»)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robust-ограничение: g(x, ξ) ≤ 0 для всех ξ ∈ U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§2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мягкое требование («чем лучше, тем лучше»)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chance-ограничение / минимизация ожидания (хвост ε допустим)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§2, §3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«в среднем правильно» / «правильно всегда»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ожидание E[·] против худшего случая ∀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§2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забор жёстких ограничений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набор robust-ограничений, проверяемых детерминированно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§4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программа-сторож, проверяющий модуль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надёжный проверяющий (sound-оракул)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§8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виртуальная модель завода, цифровой двойник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дорогой sound-оракул (физическая симуляция)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§8, Прил. B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приблизительная оценка с честной пометкой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честная мера уверенности (conformal prediction)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§6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эталонные примеры / эталонные проверки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проверка самих правил (golden-тесты) — класс B3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§8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автоматический разбор текста программы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анализ дерева разбора (синтаксический анализатор)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§8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наблюдение в работе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контроль во время исполнения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§6, §8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запрет по умолчанию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нет проверки / проверка не пройдена → блокировать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§8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безопасный отказ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отказ самого контура → безопасное состояние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§8, §10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классы (для теоретиков)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B1 / B2 / B3 — три ветви для жёстких требований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§8</w:t>
            </w:r>
          </w:p>
        </w:tc>
      </w:tr>
    </w:tbl>
    <w:p>
      <w:pPr>
        <w:pStyle w:val="Heading1"/>
      </w:pPr>
      <w:r>
        <w:t xml:space="preserve">2. Две формы требований (раскрытие «жёсткое / мягкое»)</w:t>
      </w:r>
    </w:p>
    <w:p>
      <w:pPr>
        <w:spacing w:after="120" w:line="276"/>
      </w:pPr>
      <w:r>
        <w:t xml:space="preserve">Пусть x — решение (уставка, настройка, фрагмент кода), ξ — неопределённый параметр (давление, задержка, входные данные), U — множество допустимых сценариев, g(x, ξ) ≤ 0 — ограничение.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60"/>
        <w:gridCol w:w="300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Тип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Строго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Термин в статье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robust (жёсткое)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g(x, ξ) ≤ 0 для всех ξ ∈ U (худший случай)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«так нельзя никогда»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chance (мягкое)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P[ g(x, ξ) ≤ 0 ] ≥ 1 − ε (хвост ε допустим)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«чем лучше, тем лучше»</w:t>
            </w:r>
          </w:p>
        </w:tc>
      </w:tr>
    </w:tbl>
    <w:p>
      <w:pPr>
        <w:spacing w:after="110" w:line="274"/>
        <w:ind w:left="360" w:hanging="360"/>
      </w:pPr>
      <w:r>
        <w:rPr>
          <w:b/>
          <w:bCs/>
          <w:color w:val="2E7D32"/>
          <w:sz w:val="17"/>
          <w:szCs w:val="17"/>
        </w:rPr>
        <w:t xml:space="preserve"> [ФАКТ] </w:t>
      </w:r>
      <w:r>
        <w:rPr>
          <w:b/>
          <w:bCs/>
        </w:rPr>
        <w:t xml:space="preserve">Хвост ε неустраним данными. </w:t>
      </w:r>
      <w:r>
        <w:t xml:space="preserve">При ε &gt; 0 chance-ограничение по построению допускает нарушение в доле случаев ε; никакой объём обучающих данных и никакая функция потерь не превращают его в robust-ограничение. Это разница между утверждением о вероятности и утверждением «для всех».</w:t>
      </w:r>
    </w:p>
    <w:p>
      <w:pPr>
        <w:spacing w:after="110" w:line="274"/>
        <w:ind w:left="360" w:hanging="360"/>
      </w:pPr>
      <w:r>
        <w:rPr>
          <w:b/>
          <w:bCs/>
          <w:color w:val="1F6FB2"/>
          <w:sz w:val="17"/>
          <w:szCs w:val="17"/>
        </w:rPr>
        <w:t xml:space="preserve"> [СЛЕДСТВИЕ] </w:t>
      </w:r>
      <w:r>
        <w:t xml:space="preserve">Жёсткое требование (по определению — выполняется в каждом случае) нельзя обеспечить только вероятностной моделью. Нужен слой, дающий поточечную гарантию для конкретного x.</w:t>
      </w:r>
    </w:p>
    <w:p>
      <w:pPr>
        <w:pStyle w:val="Heading1"/>
      </w:pPr>
      <w:r>
        <w:t xml:space="preserve">3. Открытый контур (раскрытие «угадывающая модель», «в среднем»)</w:t>
      </w:r>
    </w:p>
    <w:p>
      <w:pPr>
        <w:spacing w:after="120" w:line="276"/>
      </w:pPr>
      <w:r>
        <w:t xml:space="preserve">Открытый контур оптимизирует среднее: минимизирует E_ξ[ L(x, ξ) ] при P[g ≤ 0] ≥ 1 − ε. Аппарат — chance-constrained programming (Charnes &amp; Cooper, 1959; выпуклые аппроксимации — Nemirovski &amp; Shapiro, 2006).</w:t>
      </w:r>
    </w:p>
    <w:p>
      <w:pPr>
        <w:spacing w:after="110" w:line="274"/>
        <w:ind w:left="360" w:hanging="360"/>
      </w:pPr>
      <w:r>
        <w:rPr>
          <w:b/>
          <w:bCs/>
          <w:color w:val="2E7D32"/>
          <w:sz w:val="17"/>
          <w:szCs w:val="17"/>
        </w:rPr>
        <w:t xml:space="preserve"> [ФАКТ] </w:t>
      </w:r>
      <w:r>
        <w:t xml:space="preserve">Обучение нейросети минимизирует ожидание потерь — это утверждение про среднее по распределению, а не про худший случай.</w:t>
      </w:r>
    </w:p>
    <w:p>
      <w:pPr>
        <w:spacing w:after="110" w:line="274"/>
        <w:ind w:left="360" w:hanging="360"/>
      </w:pPr>
      <w:r>
        <w:rPr>
          <w:b/>
          <w:bCs/>
          <w:color w:val="B26B00"/>
          <w:sz w:val="17"/>
          <w:szCs w:val="17"/>
        </w:rPr>
        <w:t xml:space="preserve"> [РЕКОМЕНДАЦИЯ] </w:t>
      </w:r>
      <w:r>
        <w:t xml:space="preserve">Долю допустимых нарушений ε задавать осознанно, как проектный параметр, а не принимать «точность модели на тесте» за ε.</w:t>
      </w:r>
    </w:p>
    <w:p>
      <w:pPr>
        <w:pStyle w:val="Heading1"/>
      </w:pPr>
      <w:r>
        <w:t xml:space="preserve">4. Замкнутый контур и цена робастности (раскрытие «забор»)</w:t>
      </w:r>
    </w:p>
    <w:p>
      <w:pPr>
        <w:spacing w:after="120" w:line="276"/>
      </w:pPr>
      <w:r>
        <w:t xml:space="preserve">Замкнутый контур требует допустимости при любом ξ ∈ U — это robust optimization. Soyster (1973) дал предельно консервативную форму; Ben-Tal &amp; Nemirovski и El Ghaoui — вычислимые модели; Bertsimas &amp; Sim (2004) ввели «бюджет неопределённости» Γ, плавно регулирующий консерватизм (вероятность нарушения ≈ exp(−Γ²/2n)).</w:t>
      </w:r>
    </w:p>
    <w:p>
      <w:pPr>
        <w:spacing w:after="110" w:line="274"/>
        <w:ind w:left="360" w:hanging="360"/>
      </w:pPr>
      <w:r>
        <w:rPr>
          <w:b/>
          <w:bCs/>
          <w:color w:val="2E7D32"/>
          <w:sz w:val="17"/>
          <w:szCs w:val="17"/>
        </w:rPr>
        <w:t xml:space="preserve"> [ФАКТ] </w:t>
      </w:r>
      <w:r>
        <w:t xml:space="preserve">robust-оптимизация гарантирует допустимость для всех ξ ∈ U; за это платят ухудшением среднего результата — доказанный трейд-офф, «цена робастности» (Bertsimas &amp; Sim, 2004).</w:t>
      </w:r>
    </w:p>
    <w:p>
      <w:pPr>
        <w:spacing w:after="110" w:line="274"/>
        <w:ind w:left="360" w:hanging="360"/>
      </w:pPr>
      <w:r>
        <w:rPr>
          <w:b/>
          <w:bCs/>
          <w:color w:val="B26B00"/>
          <w:sz w:val="17"/>
          <w:szCs w:val="17"/>
        </w:rPr>
        <w:t xml:space="preserve"> [РЕКОМЕНДАЦИЯ] </w:t>
      </w:r>
      <w:r>
        <w:t xml:space="preserve">«Забор» — жёсткие ограничения — задавать явно и проверять для каждого изменения, заранее принимая, что среднее станет чуть хуже. Это плата за гарантию, а не дефект.</w:t>
      </w:r>
    </w:p>
    <w:p>
      <w:pPr>
        <w:pStyle w:val="Heading1"/>
      </w:pPr>
      <w:r>
        <w:t xml:space="preserve">5. Язык «жёсткое / мягкое»: semiring-CSP (с честной оговоркой)</w:t>
      </w:r>
    </w:p>
    <w:p>
      <w:pPr>
        <w:spacing w:after="120" w:line="276"/>
      </w:pPr>
      <w:r>
        <w:t xml:space="preserve">Чтобы держать жёсткие и мягкие требования в одной схеме, не смешивая их, удобен semiring-based CSP (Bistarelli, Montanari &amp; Rossi, 1997).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Полукольцо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Что моделирует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({Да, Нет}, ИЛИ, И)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классическое жёсткое да/нет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([0,1], max, min)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мягкое: степень удовлетворения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(числа ≥ 0, min, +)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мягкое: стоимость/штраф</w:t>
            </w:r>
          </w:p>
        </w:tc>
      </w:tr>
    </w:tbl>
    <w:p>
      <w:pPr>
        <w:spacing w:after="110" w:line="274"/>
        <w:ind w:left="360" w:hanging="360"/>
      </w:pPr>
      <w:r>
        <w:rPr>
          <w:b/>
          <w:bCs/>
          <w:color w:val="2E7D32"/>
          <w:sz w:val="17"/>
          <w:szCs w:val="17"/>
        </w:rPr>
        <w:t xml:space="preserve"> [ФАКТ] </w:t>
      </w:r>
      <w:r>
        <w:t xml:space="preserve">Полукольцо позволяет в одной формальной схеме держать жёсткие (да/нет) и мягкие (степень) требования, не теряя различия между ними.</w:t>
      </w:r>
    </w:p>
    <w:p>
      <w:pPr>
        <w:spacing w:after="110" w:line="274"/>
        <w:ind w:left="360" w:hanging="360"/>
      </w:pPr>
      <w:r>
        <w:rPr>
          <w:b/>
          <w:bCs/>
          <w:color w:val="B23A48"/>
          <w:sz w:val="17"/>
          <w:szCs w:val="17"/>
        </w:rPr>
        <w:t xml:space="preserve"> [НЕ ТЕОРЕМА] </w:t>
      </w:r>
      <w:r>
        <w:t xml:space="preserve">Полукольцо </w:t>
      </w:r>
      <w:r>
        <w:rPr>
          <w:b/>
          <w:bCs/>
        </w:rPr>
        <w:t xml:space="preserve">не доказывает</w:t>
      </w:r>
      <w:r>
        <w:t xml:space="preserve"> тезис «жёсткое → детерминизм». Оно даёт только язык. Решение «жёсткое отдаём детерминированному контуру» — инженерный шаг, и он опирается на наличие дешёвого надёжного проверяющего (§8), а не на полукольцо. Польза полукольца — защита от ошибки: не превращать запрет в «штраф с большим весом», который оптимизатор однажды перевесит.</w:t>
      </w:r>
    </w:p>
    <w:p>
      <w:pPr>
        <w:pStyle w:val="Heading1"/>
      </w:pPr>
      <w:r>
        <w:t xml:space="preserve">6. Честная уверенность (раскрытие «приблизительная оценка с честной пометкой»)</w:t>
      </w:r>
    </w:p>
    <w:p>
      <w:pPr>
        <w:spacing w:after="120" w:line="276"/>
      </w:pPr>
      <w:r>
        <w:t xml:space="preserve">Когда дешёвого надёжного проверяющего нет (класс B2), нужна честно измеренная уверенность. Conformal prediction (Vovk, Gammerman &amp; Shafer, 2005; практичное введение — Angelopoulos &amp; Bates, 2023) даёт множество ответов, накрывающее истину с заданной вероятностью.</w:t>
      </w:r>
    </w:p>
    <w:p>
      <w:pPr>
        <w:spacing w:after="120" w:line="276"/>
      </w:pPr>
      <w:r>
        <w:t xml:space="preserve">Как это считается по шагам:</w:t>
      </w:r>
    </w:p>
    <w:p>
      <w:pPr>
        <w:pStyle w:val="ListParagraph"/>
        <w:numPr>
          <w:ilvl w:val="1"/>
          <w:numId w:val="2"/>
        </w:numPr>
        <w:spacing w:after="50" w:line="268"/>
      </w:pPr>
      <w:r>
        <w:t xml:space="preserve">на калибровочной выборке n считаем баллы несоответствия s_i = |y_i − f(x_i)|;</w:t>
      </w:r>
    </w:p>
    <w:p>
      <w:pPr>
        <w:pStyle w:val="ListParagraph"/>
        <w:numPr>
          <w:ilvl w:val="1"/>
          <w:numId w:val="2"/>
        </w:numPr>
        <w:spacing w:after="50" w:line="268"/>
      </w:pPr>
      <w:r>
        <w:t xml:space="preserve">берём порог q = ⌈(n+1)(1−δ)⌉-й по возрастанию (n = 1000, δ = 0.1 → 901-й из 1000);</w:t>
      </w:r>
    </w:p>
    <w:p>
      <w:pPr>
        <w:pStyle w:val="ListParagraph"/>
        <w:numPr>
          <w:ilvl w:val="1"/>
          <w:numId w:val="2"/>
        </w:numPr>
        <w:spacing w:after="50" w:line="268"/>
      </w:pPr>
      <w:r>
        <w:t xml:space="preserve">ответ: C(x) = [ f(x) − q, f(x) + q ].</w:t>
      </w:r>
    </w:p>
    <w:p>
      <w:pPr>
        <w:spacing w:after="110" w:line="274"/>
        <w:ind w:left="360" w:hanging="360"/>
      </w:pPr>
      <w:r>
        <w:rPr>
          <w:b/>
          <w:bCs/>
          <w:color w:val="2E7D32"/>
          <w:sz w:val="17"/>
          <w:szCs w:val="17"/>
        </w:rPr>
        <w:t xml:space="preserve"> [ФАКТ] </w:t>
      </w:r>
      <w:r>
        <w:t xml:space="preserve">При обмениваемости данных множество C(x) накрывает истину с вероятностью ≥ 1 − δ — доказано, без предположений о виде распределения.</w:t>
      </w:r>
    </w:p>
    <w:p>
      <w:pPr>
        <w:spacing w:after="110" w:line="274"/>
        <w:ind w:left="360" w:hanging="360"/>
      </w:pPr>
      <w:r>
        <w:rPr>
          <w:b/>
          <w:bCs/>
          <w:color w:val="2E7D32"/>
          <w:sz w:val="17"/>
          <w:szCs w:val="17"/>
        </w:rPr>
        <w:t xml:space="preserve"> [ФАКТ] </w:t>
      </w:r>
      <w:r>
        <w:t xml:space="preserve">При сдвиге распределения (новая партия сырья, смена режима) гарантия теряется; восстанавливается только взвешенными версиями при известном отношении плотностей (Tibshirani et al., 2019; Barber et al., 2023).</w:t>
      </w:r>
    </w:p>
    <w:p>
      <w:pPr>
        <w:spacing w:after="110" w:line="274"/>
        <w:ind w:left="360" w:hanging="360"/>
      </w:pPr>
      <w:r>
        <w:rPr>
          <w:b/>
          <w:bCs/>
          <w:color w:val="B26B00"/>
          <w:sz w:val="17"/>
          <w:szCs w:val="17"/>
        </w:rPr>
        <w:t xml:space="preserve"> [РЕКОМЕНДАЦИЯ] </w:t>
      </w:r>
      <w:r>
        <w:t xml:space="preserve">«Честную пометку» обязательно сопровождать контролем сдвига распределения. Без него пометка перестаёт быть честной — это прямое следствие предыдущего факта.</w:t>
      </w:r>
    </w:p>
    <w:p>
      <w:pPr>
        <w:pStyle w:val="Heading1"/>
      </w:pPr>
      <w:r>
        <w:t xml:space="preserve">7. Когда ИИ действует, а не советует (constrained MDP, safe RL, shielding)</w:t>
      </w:r>
    </w:p>
    <w:p>
      <w:pPr>
        <w:pStyle w:val="ListParagraph"/>
        <w:numPr>
          <w:ilvl w:val="0"/>
          <w:numId w:val="3"/>
        </w:numPr>
        <w:spacing w:after="60" w:line="272"/>
      </w:pPr>
      <w:r>
        <w:rPr>
          <w:b/>
          <w:bCs/>
        </w:rPr>
        <w:t xml:space="preserve">Constrained MDP</w:t>
      </w:r>
      <w:r>
        <w:t xml:space="preserve"> (Altman, 1999) — политика удерживает ожидаемую стоимость нарушений ниже порога (мягкий уровень).</w:t>
      </w:r>
    </w:p>
    <w:p>
      <w:pPr>
        <w:pStyle w:val="ListParagraph"/>
        <w:numPr>
          <w:ilvl w:val="0"/>
          <w:numId w:val="3"/>
        </w:numPr>
        <w:spacing w:after="60" w:line="272"/>
      </w:pPr>
      <w:r>
        <w:rPr>
          <w:b/>
          <w:bCs/>
        </w:rPr>
        <w:t xml:space="preserve">Constrained Policy Optimization</w:t>
      </w:r>
      <w:r>
        <w:t xml:space="preserve"> (Achiam et al., 2017) — обучение с приближённым удержанием ограничений.</w:t>
      </w:r>
    </w:p>
    <w:p>
      <w:pPr>
        <w:pStyle w:val="ListParagraph"/>
        <w:numPr>
          <w:ilvl w:val="0"/>
          <w:numId w:val="3"/>
        </w:numPr>
        <w:spacing w:after="60" w:line="272"/>
      </w:pPr>
      <w:r>
        <w:rPr>
          <w:b/>
          <w:bCs/>
        </w:rPr>
        <w:t xml:space="preserve">Shielding</w:t>
      </w:r>
      <w:r>
        <w:t xml:space="preserve"> (Alshiekh et al., 2018) — «щит» перехватывает каждое действие и корректирует только небезопасные.</w:t>
      </w:r>
    </w:p>
    <w:p>
      <w:pPr>
        <w:spacing w:after="110" w:line="274"/>
        <w:ind w:left="360" w:hanging="360"/>
      </w:pPr>
      <w:r>
        <w:rPr>
          <w:b/>
          <w:bCs/>
          <w:color w:val="2E7D32"/>
          <w:sz w:val="17"/>
          <w:szCs w:val="17"/>
        </w:rPr>
        <w:t xml:space="preserve"> [ФАКТ] </w:t>
      </w:r>
      <w:r>
        <w:t xml:space="preserve">Shielding обеспечивает поточечную блокировку небезопасного действия по формальной спецификации — это доказанное свойство метода.</w:t>
      </w:r>
    </w:p>
    <w:p>
      <w:pPr>
        <w:spacing w:after="110" w:line="274"/>
        <w:ind w:left="360" w:hanging="360"/>
      </w:pPr>
      <w:r>
        <w:rPr>
          <w:b/>
          <w:bCs/>
          <w:color w:val="1F6FB2"/>
          <w:sz w:val="17"/>
          <w:szCs w:val="17"/>
        </w:rPr>
        <w:t xml:space="preserve"> [СЛЕДСТВИЕ] </w:t>
      </w:r>
      <w:r>
        <w:t xml:space="preserve">Если ИИ выбирает действия (а не только советует), жёсткий слой должен стоять на уровне действий (щит), а не только в обучении.</w:t>
      </w:r>
    </w:p>
    <w:p>
      <w:pPr>
        <w:pStyle w:val="Heading1"/>
      </w:pPr>
      <w:r>
        <w:t xml:space="preserve">8. Надёжный проверяющий и классы B1/B2/B3</w:t>
      </w:r>
    </w:p>
    <w:p>
      <w:pPr>
        <w:spacing w:after="120" w:line="276"/>
      </w:pPr>
      <w:r>
        <w:rPr>
          <w:b/>
          <w:bCs/>
        </w:rPr>
        <w:t xml:space="preserve">Надёжный проверяющий (sound-оракул)</w:t>
      </w:r>
      <w:r>
        <w:t xml:space="preserve"> — инструмент, дающий вердикт «x допустим» со свойством </w:t>
      </w:r>
      <w:r>
        <w:rPr>
          <w:i/>
          <w:iCs/>
        </w:rPr>
        <w:t xml:space="preserve">надёжности (soundness)</w:t>
      </w:r>
      <w:r>
        <w:t xml:space="preserve">: ложных «ОК» не бывает (если сказал «ОК» — ограничение действительно выполнено). В статье это «программа-сторож». Дешёвые проверяющие: анализатор текста программы, проверка типов, диапазонов, шаблон, онтология. Дорогой — цифровой двойник.</w:t>
      </w:r>
    </w:p>
    <w:p>
      <w:pPr>
        <w:spacing w:after="110" w:line="274"/>
        <w:ind w:left="360" w:hanging="360"/>
      </w:pPr>
      <w:r>
        <w:rPr>
          <w:b/>
          <w:bCs/>
          <w:color w:val="2E7D32"/>
          <w:sz w:val="17"/>
          <w:szCs w:val="17"/>
        </w:rPr>
        <w:t xml:space="preserve"> [ФАКТ] </w:t>
      </w:r>
      <w:r>
        <w:t xml:space="preserve">Надёжность (soundness) — отсутствие ложных «ОК» — это свойство конкретного проверяющего, которое можно доказать (например, для проверки диапазона значений). Нас интересует именно soundness, а не полнота: безопасно иногда ложно забраковать корректное x.</w:t>
      </w:r>
    </w:p>
    <w:p>
      <w:pPr>
        <w:spacing w:after="120" w:line="276"/>
      </w:pPr>
      <w:r>
        <w:t xml:space="preserve">Три ветви для жёстких требований (то, что в статье названо «классами для теоретиков»):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2300"/>
        <w:gridCol w:w="226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Класс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Условие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В статье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Гарантия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B1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есть дешёвый надёжный проверяющий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«программа-сторож»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поточечная (если проверяющий надёжен)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B2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проверяющего нет / он дорог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«оценка с честной пометкой»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честная, без гарантии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правило само может устареть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«эталонные проверки»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соблюдения правила, не его истинности</w:t>
            </w:r>
          </w:p>
        </w:tc>
      </w:tr>
    </w:tbl>
    <w:p>
      <w:pPr>
        <w:spacing w:after="110" w:line="274"/>
        <w:ind w:left="360" w:hanging="360"/>
      </w:pPr>
      <w:r>
        <w:rPr>
          <w:b/>
          <w:bCs/>
          <w:color w:val="2E7D32"/>
          <w:sz w:val="17"/>
          <w:szCs w:val="17"/>
        </w:rPr>
        <w:t xml:space="preserve"> [ФАКТ] </w:t>
      </w:r>
      <w:r>
        <w:t xml:space="preserve">Различие B1/B2/B3 — это разные типы гарантии, и они не взаимозаменяемы: B2 принципиально не даёт гарантии, B3 гарантирует соблюдение правила, но не его правильность.</w:t>
      </w:r>
    </w:p>
    <w:p>
      <w:pPr>
        <w:spacing w:after="110" w:line="274"/>
        <w:ind w:left="360" w:hanging="360"/>
      </w:pPr>
      <w:r>
        <w:rPr>
          <w:b/>
          <w:bCs/>
          <w:color w:val="B26B00"/>
          <w:sz w:val="17"/>
          <w:szCs w:val="17"/>
        </w:rPr>
        <w:t xml:space="preserve"> [РЕКОМЕНДАЦИЯ] </w:t>
      </w:r>
      <w:r>
        <w:rPr>
          <w:b/>
          <w:bCs/>
        </w:rPr>
        <w:t xml:space="preserve">Запрет по умолчанию</w:t>
      </w:r>
      <w:r>
        <w:t xml:space="preserve">: нет проверки или проверяющий недоступен → блокировать, а не пропускать. Это практика, согласованная с нормами безопасности, а не теорема оптимизации.</w:t>
      </w:r>
    </w:p>
    <w:p>
      <w:pPr>
        <w:spacing w:after="110" w:line="274"/>
        <w:ind w:left="360" w:hanging="360"/>
      </w:pPr>
      <w:r>
        <w:rPr>
          <w:b/>
          <w:bCs/>
          <w:color w:val="6A1B9A"/>
          <w:sz w:val="17"/>
          <w:szCs w:val="17"/>
        </w:rPr>
        <w:t xml:space="preserve"> [НОРМА] </w:t>
      </w:r>
      <w:r>
        <w:rPr>
          <w:b/>
          <w:bCs/>
        </w:rPr>
        <w:t xml:space="preserve">Безопасный отказ</w:t>
      </w:r>
      <w:r>
        <w:t xml:space="preserve">: отказ самого контура проверки должен переводить систему в безопасное состояние. Это требование функциональной безопасности (§10), а не оптимизационный результат.</w:t>
      </w:r>
    </w:p>
    <w:p>
      <w:pPr>
        <w:pStyle w:val="Heading1"/>
      </w:pPr>
      <w:r>
        <w:t xml:space="preserve">9. Подтверждение паттерна в литературе по контроллерам</w:t>
      </w:r>
    </w:p>
    <w:p>
      <w:pPr>
        <w:spacing w:after="120" w:line="276"/>
      </w:pPr>
      <w:r>
        <w:t xml:space="preserve">Двухконтурная идея встречается в свежих работах по генерации кода для контроллеров: нейросеть (открытый контур) обкладывают внешней проверкой (замкнутый).</w:t>
      </w:r>
    </w:p>
    <w:p>
      <w:pPr>
        <w:spacing w:after="110" w:line="274"/>
        <w:ind w:left="360" w:hanging="360"/>
      </w:pPr>
      <w:r>
        <w:rPr>
          <w:b/>
          <w:bCs/>
          <w:color w:val="555555"/>
          <w:sz w:val="17"/>
          <w:szCs w:val="17"/>
        </w:rPr>
        <w:t xml:space="preserve"> [ЭМПИРИКА] </w:t>
      </w:r>
      <w:r>
        <w:t xml:space="preserve">LLM4PLC (Fakih et al., 2024) использует проверочную программу nuXmv; Agents4PLC сообщает до ~68.8% успешной формальной проверки на 23 задачах; работы по генерации с обратной связью показывают рост качества. LLM4SFC формулирует ключевое: правильный синтаксис не гарантирует безопасность во время исполнения. Это подтверждение паттерна экспериментами, а не доказательство.</w:t>
      </w:r>
    </w:p>
    <w:p>
      <w:pPr>
        <w:pStyle w:val="Heading1"/>
      </w:pPr>
      <w:r>
        <w:t xml:space="preserve">10. Привязка к нормам безопасности</w:t>
      </w:r>
    </w:p>
    <w:p>
      <w:pPr>
        <w:spacing w:after="120" w:line="276"/>
      </w:pPr>
      <w:r>
        <w:t xml:space="preserve">Замкнутый контур обязан быть проверкой, совместимой со стандартами (аудируемые правила, явное выделение функций безопасности, безопасный отказ).</w:t>
      </w:r>
    </w:p>
    <w:p>
      <w:pPr>
        <w:pStyle w:val="Heading2"/>
      </w:pPr>
      <w:r>
        <w:t xml:space="preserve">10.1. IEC 61508 — уровни полноты безопасности (SIL, режим низкого запроса)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SIL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Вероятность отказа на запрос (PFDavg)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Снижение риска (RRF)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SIL 4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≥ 10⁻⁵ … &lt; 10⁻⁴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100 000 … 10 000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SIL 3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≥ 10⁻⁴ … &lt; 10⁻³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10 000 … 1 000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SIL 2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≥ 10⁻³ … &lt; 10⁻²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1 000 … 100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SIL 1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≥ 10⁻² … &lt; 10⁻¹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100 … 10</w:t>
            </w:r>
          </w:p>
        </w:tc>
      </w:tr>
    </w:tbl>
    <w:p>
      <w:pPr>
        <w:pStyle w:val="Heading2"/>
      </w:pPr>
      <w:r>
        <w:t xml:space="preserve">10.2. ISO 13849-1 — уровни производительности (отказ/час)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Средняя вероятность опасного отказа (1/ч)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Грубое соответствие SIL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≥ 10⁻⁵ … &lt; 10⁻⁴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 / c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≥ 3·10⁻⁶ … &lt; 10⁻⁵ / ≥ 10⁻⁶ … &lt; 3·10⁻⁶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SIL 1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≥ 10⁻⁷ … &lt; 10⁻⁶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SIL 2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≥ 10⁻⁸ … &lt; 10⁻⁷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SIL 3</w:t>
            </w:r>
          </w:p>
        </w:tc>
      </w:tr>
    </w:tbl>
    <w:p>
      <w:pPr>
        <w:spacing w:after="110" w:line="274"/>
        <w:ind w:left="360" w:hanging="360"/>
      </w:pPr>
      <w:r>
        <w:rPr>
          <w:b/>
          <w:bCs/>
          <w:color w:val="6A1B9A"/>
          <w:sz w:val="17"/>
          <w:szCs w:val="17"/>
        </w:rPr>
        <w:t xml:space="preserve"> [НОРМА] </w:t>
      </w:r>
      <w:r>
        <w:t xml:space="preserve">Прочие опоры: IEC 61511 (приборная безопасность процессов), IEC 62443 (защита АСУ ТП от вмешательства — важно для изолированного контура).</w:t>
      </w:r>
    </w:p>
    <w:p>
      <w:pPr>
        <w:spacing w:after="110" w:line="274"/>
        <w:ind w:left="360" w:hanging="360"/>
      </w:pPr>
      <w:r>
        <w:rPr>
          <w:b/>
          <w:bCs/>
          <w:color w:val="2E7D32"/>
          <w:sz w:val="17"/>
          <w:szCs w:val="17"/>
        </w:rPr>
        <w:t xml:space="preserve"> [ФАКТ] </w:t>
      </w:r>
      <w:r>
        <w:t xml:space="preserve">«99.9% на тесте» — это не уровень безопасности. Средняя точность измеряется по распределению, а уровень безопасности — это доказуемая граница вероятности опасного отказа конкретной функции при запросе. Это величины из разных пространств.</w:t>
      </w:r>
    </w:p>
    <w:p>
      <w:pPr>
        <w:spacing w:after="110" w:line="274"/>
        <w:ind w:left="360" w:hanging="360"/>
      </w:pPr>
      <w:r>
        <w:rPr>
          <w:b/>
          <w:bCs/>
          <w:color w:val="6A1B9A"/>
          <w:sz w:val="17"/>
          <w:szCs w:val="17"/>
        </w:rPr>
        <w:t xml:space="preserve"> [НОРМА] </w:t>
      </w:r>
      <w:r>
        <w:t xml:space="preserve">Европейский закон об ИИ (Регламент ЕС 2024/1689, ст. 6) проводит ту же границу: ИИ, который только подсказывает, оптимизирует и повышает эффективность, не считается «компонентом безопасности» — пока его сбой не угрожает людям; функция, отвечающая за безопасность, считается. Это деление на жёсткое и мягкое, закреплённое в законе.</w:t>
      </w:r>
    </w:p>
    <w:p>
      <w:pPr>
        <w:pStyle w:val="Heading1"/>
      </w:pPr>
      <w:r>
        <w:t xml:space="preserve">11. Сводная таблица: рекомендации и их обоснованность</w:t>
      </w:r>
    </w:p>
    <w:p>
      <w:pPr>
        <w:spacing w:after="120" w:line="276"/>
      </w:pPr>
      <w:r>
        <w:t xml:space="preserve">Главная таблица приложения. Каждая рекомендация — с пометкой, </w:t>
      </w:r>
      <w:r>
        <w:rPr>
          <w:b/>
          <w:bCs/>
        </w:rPr>
        <w:t xml:space="preserve">чем именно она подтверждена</w:t>
      </w:r>
      <w:r>
        <w:t xml:space="preserve">. Что не доказано теорией — помечено отдельно.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500"/>
        <w:gridCol w:w="3360"/>
      </w:tblGrid>
      <w:tr>
        <w:trPr>
          <w:tblHeader/>
        </w:trP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Утверждение / рекомендация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14517F"/>
                <w:sz w:val="18"/>
                <w:szCs w:val="18"/>
              </w:rPr>
              <w:t xml:space="preserve">Основание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sz w:val="18"/>
                <w:szCs w:val="18"/>
              </w:rPr>
              <w:t xml:space="preserve">Жёсткое требование нельзя обеспечить только вероятностной моделью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2E7D32"/>
                <w:sz w:val="17"/>
                <w:szCs w:val="17"/>
              </w:rPr>
              <w:t xml:space="preserve"> [ФАКТ] 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хвост ε неустраним (§2)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sz w:val="18"/>
                <w:szCs w:val="18"/>
              </w:rPr>
              <w:t xml:space="preserve">Для жёсткого требования при наличии дешёвой надёжной проверки — детерминированный контур (B1)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B26B00"/>
                <w:sz w:val="17"/>
                <w:szCs w:val="17"/>
              </w:rPr>
              <w:t xml:space="preserve"> [РЕКОМ.] 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следствие при условии «есть надёжный проверяющий» (§8)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sz w:val="18"/>
                <w:szCs w:val="18"/>
              </w:rPr>
              <w:t xml:space="preserve">Нет дешёвой проверки → честная оценка с пометкой (B2), но без гарантии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2E7D32"/>
                <w:sz w:val="17"/>
                <w:szCs w:val="17"/>
              </w:rPr>
              <w:t xml:space="preserve"> [ФАКТ] 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conformal не даёт гарантии (§6)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sz w:val="18"/>
                <w:szCs w:val="18"/>
              </w:rPr>
              <w:t xml:space="preserve">Правило может устареть → проверять само правило (B3)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B26B00"/>
                <w:sz w:val="17"/>
                <w:szCs w:val="17"/>
              </w:rPr>
              <w:t xml:space="preserve"> [РЕКОМ.] 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различие соблюдение/истинность (§8)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sz w:val="18"/>
                <w:szCs w:val="18"/>
              </w:rPr>
              <w:t xml:space="preserve">Запрет по умолчанию (нет проверки → блок)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B26B00"/>
                <w:sz w:val="17"/>
                <w:szCs w:val="17"/>
              </w:rPr>
              <w:t xml:space="preserve"> [РЕКОМ.] 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практика безопасности, не теорема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sz w:val="18"/>
                <w:szCs w:val="18"/>
              </w:rPr>
              <w:t xml:space="preserve">Безопасный отказ контура проверки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6A1B9A"/>
                <w:sz w:val="17"/>
                <w:szCs w:val="17"/>
              </w:rPr>
              <w:t xml:space="preserve"> [НОРМА] 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IEC 61508 (§10)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sz w:val="18"/>
                <w:szCs w:val="18"/>
              </w:rPr>
              <w:t xml:space="preserve">Conformal без контроля сдвига недостоверен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2E7D32"/>
                <w:sz w:val="17"/>
                <w:szCs w:val="17"/>
              </w:rPr>
              <w:t xml:space="preserve"> [ФАКТ] 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нарушение обмениваемости (§6)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sz w:val="18"/>
                <w:szCs w:val="18"/>
              </w:rPr>
              <w:t xml:space="preserve">В сценариях безопасности ИИ — только в открытом контуре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B26B00"/>
                <w:sz w:val="17"/>
                <w:szCs w:val="17"/>
              </w:rPr>
              <w:t xml:space="preserve"> [РЕКОМ.] 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согласовано с §2 и законом (§10)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sz w:val="18"/>
                <w:szCs w:val="18"/>
              </w:rPr>
              <w:t xml:space="preserve">«Полукольцо доказывает: жёсткое → детерминизм»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/>
                <w:bCs/>
                <w:color w:val="B23A48"/>
                <w:sz w:val="17"/>
                <w:szCs w:val="17"/>
              </w:rPr>
              <w:t xml:space="preserve"> [НЕ ТЕОР.] 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48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полукольцо даёт только язык (§5)</w:t>
            </w:r>
          </w:p>
        </w:tc>
      </w:tr>
    </w:tbl>
    <w:p>
      <w:pPr>
        <w:pStyle w:val="Heading1"/>
      </w:pPr>
      <w:r>
        <w:t xml:space="preserve">12. Источники</w:t>
      </w:r>
    </w:p>
    <w:p>
      <w:pPr>
        <w:spacing w:after="80" w:line="264"/>
        <w:ind w:left="360" w:hanging="360"/>
      </w:pPr>
      <w:r>
        <w:rPr>
          <w:b/>
          <w:bCs/>
        </w:rPr>
        <w:t xml:space="preserve">1. </w:t>
      </w:r>
      <w:r>
        <w:t xml:space="preserve">Bertsimas, D., Sim, M. (2004). The Price of Robustness. Operations Research 52(1):35–53. DOI: 10.1287/opre.1030.0065.</w:t>
      </w:r>
    </w:p>
    <w:p>
      <w:pPr>
        <w:spacing w:after="80" w:line="264"/>
        <w:ind w:left="360" w:hanging="360"/>
      </w:pPr>
      <w:r>
        <w:rPr>
          <w:b/>
          <w:bCs/>
        </w:rPr>
        <w:t xml:space="preserve">2. </w:t>
      </w:r>
      <w:r>
        <w:t xml:space="preserve">Ben-Tal, A., Nemirovski, A. (1998). Robust Convex Optimization. Math. of OR 23(4):769–805.</w:t>
      </w:r>
    </w:p>
    <w:p>
      <w:pPr>
        <w:spacing w:after="80" w:line="264"/>
        <w:ind w:left="360" w:hanging="360"/>
      </w:pPr>
      <w:r>
        <w:rPr>
          <w:b/>
          <w:bCs/>
        </w:rPr>
        <w:t xml:space="preserve">3. </w:t>
      </w:r>
      <w:r>
        <w:t xml:space="preserve">Bertsimas, D., Brown, D. B., Caramanis, C. (2011). Theory and Applications of Robust Optimization. SIAM Review 53(3):464–501.</w:t>
      </w:r>
    </w:p>
    <w:p>
      <w:pPr>
        <w:spacing w:after="80" w:line="264"/>
        <w:ind w:left="360" w:hanging="360"/>
      </w:pPr>
      <w:r>
        <w:rPr>
          <w:b/>
          <w:bCs/>
        </w:rPr>
        <w:t xml:space="preserve">4. </w:t>
      </w:r>
      <w:r>
        <w:t xml:space="preserve">Charnes, A., Cooper, W. W. (1959). Chance-Constrained Programming. Management Science 6(1):73–79.</w:t>
      </w:r>
    </w:p>
    <w:p>
      <w:pPr>
        <w:spacing w:after="80" w:line="264"/>
        <w:ind w:left="360" w:hanging="360"/>
      </w:pPr>
      <w:r>
        <w:rPr>
          <w:b/>
          <w:bCs/>
        </w:rPr>
        <w:t xml:space="preserve">5. </w:t>
      </w:r>
      <w:r>
        <w:t xml:space="preserve">Nemirovski, A., Shapiro, A. (2006). Convex Approximations of Chance Constrained Programs. SIAM J. Optim. 17(4):969–996.</w:t>
      </w:r>
    </w:p>
    <w:p>
      <w:pPr>
        <w:spacing w:after="80" w:line="264"/>
        <w:ind w:left="360" w:hanging="360"/>
      </w:pPr>
      <w:r>
        <w:rPr>
          <w:b/>
          <w:bCs/>
        </w:rPr>
        <w:t xml:space="preserve">6. </w:t>
      </w:r>
      <w:r>
        <w:t xml:space="preserve">Bistarelli, S., Montanari, U., Rossi, F. (1997). Semiring-Based Constraint Solving and Optimization. J. ACM 44(2):201–236. DOI: 10.1145/256303.256306.</w:t>
      </w:r>
    </w:p>
    <w:p>
      <w:pPr>
        <w:spacing w:after="80" w:line="264"/>
        <w:ind w:left="360" w:hanging="360"/>
      </w:pPr>
      <w:r>
        <w:rPr>
          <w:b/>
          <w:bCs/>
        </w:rPr>
        <w:t xml:space="preserve">7. </w:t>
      </w:r>
      <w:r>
        <w:t xml:space="preserve">Vovk, V., Gammerman, A., Shafer, G. (2005). Algorithmic Learning in a Random World. Springer.</w:t>
      </w:r>
    </w:p>
    <w:p>
      <w:pPr>
        <w:spacing w:after="80" w:line="264"/>
        <w:ind w:left="360" w:hanging="360"/>
      </w:pPr>
      <w:r>
        <w:rPr>
          <w:b/>
          <w:bCs/>
        </w:rPr>
        <w:t xml:space="preserve">8. </w:t>
      </w:r>
      <w:r>
        <w:t xml:space="preserve">Angelopoulos, A. N., Bates, S. (2023). Conformal Prediction: A Gentle Introduction. FnT in ML 16(4):494–591. DOI: 10.1561/2200000101 (arXiv:2107.07511).</w:t>
      </w:r>
    </w:p>
    <w:p>
      <w:pPr>
        <w:spacing w:after="80" w:line="264"/>
        <w:ind w:left="360" w:hanging="360"/>
      </w:pPr>
      <w:r>
        <w:rPr>
          <w:b/>
          <w:bCs/>
        </w:rPr>
        <w:t xml:space="preserve">9. </w:t>
      </w:r>
      <w:r>
        <w:t xml:space="preserve">Tibshirani, R. J. et al. (2019). Conformal Prediction Under Covariate Shift. NeurIPS. arXiv:1904.06019.</w:t>
      </w:r>
    </w:p>
    <w:p>
      <w:pPr>
        <w:spacing w:after="80" w:line="264"/>
        <w:ind w:left="360" w:hanging="360"/>
      </w:pPr>
      <w:r>
        <w:rPr>
          <w:b/>
          <w:bCs/>
        </w:rPr>
        <w:t xml:space="preserve">10. </w:t>
      </w:r>
      <w:r>
        <w:t xml:space="preserve">Barber, R. F. et al. (2023). Conformal Prediction Beyond Exchangeability. Annals of Statistics 51(2):816–845.</w:t>
      </w:r>
    </w:p>
    <w:p>
      <w:pPr>
        <w:spacing w:after="80" w:line="264"/>
        <w:ind w:left="360" w:hanging="360"/>
      </w:pPr>
      <w:r>
        <w:rPr>
          <w:b/>
          <w:bCs/>
        </w:rPr>
        <w:t xml:space="preserve">11. </w:t>
      </w:r>
      <w:r>
        <w:t xml:space="preserve">Altman, E. (1999). Constrained Markov Decision Processes. Chapman &amp; Hall/CRC.</w:t>
      </w:r>
    </w:p>
    <w:p>
      <w:pPr>
        <w:spacing w:after="80" w:line="264"/>
        <w:ind w:left="360" w:hanging="360"/>
      </w:pPr>
      <w:r>
        <w:rPr>
          <w:b/>
          <w:bCs/>
        </w:rPr>
        <w:t xml:space="preserve">12. </w:t>
      </w:r>
      <w:r>
        <w:t xml:space="preserve">Achiam, J. et al. (2017). Constrained Policy Optimization. ICML, PMLR 70:22–31. arXiv:1705.10528.</w:t>
      </w:r>
    </w:p>
    <w:p>
      <w:pPr>
        <w:spacing w:after="80" w:line="264"/>
        <w:ind w:left="360" w:hanging="360"/>
      </w:pPr>
      <w:r>
        <w:rPr>
          <w:b/>
          <w:bCs/>
        </w:rPr>
        <w:t xml:space="preserve">13. </w:t>
      </w:r>
      <w:r>
        <w:t xml:space="preserve">Alshiekh, M. et al. (2018). Safe Reinforcement Learning via Shielding. AAAI. arXiv:1708.08611.</w:t>
      </w:r>
    </w:p>
    <w:p>
      <w:pPr>
        <w:spacing w:after="80" w:line="264"/>
        <w:ind w:left="360" w:hanging="360"/>
      </w:pPr>
      <w:r>
        <w:rPr>
          <w:b/>
          <w:bCs/>
        </w:rPr>
        <w:t xml:space="preserve">14. </w:t>
      </w:r>
      <w:r>
        <w:t xml:space="preserve">Fakih, M. et al. (2024). LLM4PLC. ICSE-SEIP 2024. arXiv:2401.05443.</w:t>
      </w:r>
    </w:p>
    <w:p>
      <w:pPr>
        <w:spacing w:after="80" w:line="264"/>
        <w:ind w:left="360" w:hanging="360"/>
      </w:pPr>
      <w:r>
        <w:rPr>
          <w:b/>
          <w:bCs/>
        </w:rPr>
        <w:t xml:space="preserve">15. </w:t>
      </w:r>
      <w:r>
        <w:t xml:space="preserve">IEC 61508; IEC 61511; ISO 13849-1; IEC 62443 — функциональная безопасность и защита АСУ ТП.</w:t>
      </w:r>
    </w:p>
    <w:p>
      <w:pPr>
        <w:spacing w:after="80" w:line="264"/>
        <w:ind w:left="360" w:hanging="360"/>
      </w:pPr>
      <w:r>
        <w:rPr>
          <w:b/>
          <w:bCs/>
        </w:rPr>
        <w:t xml:space="preserve">16. </w:t>
      </w:r>
      <w:r>
        <w:t xml:space="preserve">Регламент (ЕС) 2024/1689 (закон ЕС об ИИ), ст. 6 и Приложение III. </w:t>
      </w:r>
      <w:hyperlink w:history="1" r:id="rIdmtivj4h4e2o6qsd5ejw2d">
        <w:r>
          <w:rPr>
            <w:rStyle w:val="Hyperlink"/>
          </w:rPr>
          <w:t xml:space="preserve">artificialintelligenceact.eu/article/6</w:t>
        </w:r>
      </w:hyperlink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стр.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jc w:val="right"/>
    </w:pPr>
    <w:r>
      <w:rPr>
        <w:color w:val="999999"/>
        <w:sz w:val="16"/>
        <w:szCs w:val="16"/>
      </w:rPr>
      <w:t xml:space="preserve">Приложение A · Теория двухконтурной архитектуры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lowerLetter"/>
      <w:lvlText w:val="%2)"/>
      <w:lvlJc w:val="left"/>
      <w:pPr>
        <w:ind w:left="104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5D5D5" w:sz="6" w:space="6"/>
      </w:pBdr>
      <w:spacing w:after="140" w:before="280"/>
      <w:outlineLvl w:val="0"/>
    </w:pPr>
    <w:rPr>
      <w:rFonts w:ascii="Arial" w:cs="Arial" w:eastAsia="Arial" w:hAnsi="Arial"/>
      <w:b/>
      <w:bCs/>
      <w:color w:val="14517F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6FB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tivj4h4e2o6qsd5ejw2d" Type="http://schemas.openxmlformats.org/officeDocument/2006/relationships/hyperlink" Target="https://artificialintelligenceact.eu/article/6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2026-06-03T06:00:35.724Z</dcterms:created>
  <dcterms:modified xsi:type="dcterms:W3CDTF">2026-06-03T06:00:35.736Z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