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4517F"/>
          <w:sz w:val="22"/>
          <w:szCs w:val="22"/>
        </w:rPr>
        <w:t xml:space="preserve">ПРИЛОЖЕНИЕ A</w:t>
      </w:r>
    </w:p>
    <w:p>
      <w:pPr>
        <w:spacing w:after="60"/>
      </w:pPr>
      <w:r>
        <w:rPr>
          <w:b/>
          <w:bCs/>
          <w:sz w:val="36"/>
          <w:szCs w:val="36"/>
        </w:rPr>
        <w:t xml:space="preserve">Теория двухконтурной архитектуры</w:t>
      </w:r>
    </w:p>
    <w:p>
      <w:pPr>
        <w:spacing w:after="180"/>
      </w:pPr>
      <w:r>
        <w:rPr>
          <w:i/>
          <w:iCs/>
          <w:color w:val="444444"/>
          <w:sz w:val="26"/>
          <w:szCs w:val="26"/>
        </w:rPr>
        <w:t xml:space="preserve">Словарь терминов статьи и рекомендации с пометкой обоснованности</w:t>
      </w:r>
    </w:p>
    <w:p>
      <w:pPr>
        <w:pBdr>
          <w:bottom w:val="single" w:color="1F6FB2" w:sz="12" w:space="4"/>
        </w:pBdr>
        <w:spacing w:after="160"/>
      </w:pPr>
      <w:r>
        <w:t xml:space="preserve"/>
      </w:r>
    </w:p>
    <w:p>
      <w:pPr>
        <w:spacing w:after="120" w:line="276"/>
      </w:pPr>
      <w:r>
        <w:t xml:space="preserve">Это «мост» между простым языком статьи и строгими понятиями. Каждый термин статьи здесь раскрыт (§1), а каждая рекомендация помечена по статусу — что именно </w:t>
      </w:r>
      <w:r>
        <w:rPr>
          <w:b/>
          <w:bCs/>
        </w:rPr>
        <w:t xml:space="preserve">доказано теорией</w:t>
      </w:r>
      <w:r>
        <w:t xml:space="preserve">, а что является инженерным следствием или нормой. Цель — чтобы читатель не путал доказанный факт с разумной практикой.</w:t>
      </w:r>
    </w:p>
    <w:p>
      <w:pPr>
        <w:spacing w:after="120" w:line="276"/>
      </w:pPr>
      <w:r>
        <w:rPr>
          <w:b/>
          <w:bCs/>
        </w:rPr>
        <w:t xml:space="preserve">Как читать пометки:</w:t>
      </w:r>
    </w:p>
    <w:p>
      <w:pPr>
        <w:spacing w:after="40"/>
      </w:pPr>
      <w:r>
        <w:rPr>
          <w:b/>
          <w:bCs/>
          <w:color w:val="2E7D32"/>
          <w:sz w:val="17"/>
          <w:szCs w:val="17"/>
        </w:rPr>
        <w:t xml:space="preserve"> [ФАКТ] </w:t>
      </w:r>
      <w:r>
        <w:t xml:space="preserve">— математически доказанное утверждение или прямое следствие определения.</w:t>
      </w:r>
    </w:p>
    <w:p>
      <w:pPr>
        <w:spacing w:after="40"/>
      </w:pPr>
      <w:r>
        <w:rPr>
          <w:b/>
          <w:bCs/>
          <w:color w:val="1F6FB2"/>
          <w:sz w:val="17"/>
          <w:szCs w:val="17"/>
        </w:rPr>
        <w:t xml:space="preserve"> [СЛЕДСТВИЕ] </w:t>
      </w:r>
      <w:r>
        <w:t xml:space="preserve">— логически следует из факта при явно названном условии.</w:t>
      </w:r>
    </w:p>
    <w:p>
      <w:pPr>
        <w:spacing w:after="40"/>
      </w:pPr>
      <w:r>
        <w:rPr>
          <w:b/>
          <w:bCs/>
          <w:color w:val="B26B00"/>
          <w:sz w:val="17"/>
          <w:szCs w:val="17"/>
        </w:rPr>
        <w:t xml:space="preserve"> [РЕКОМЕНДАЦИЯ] </w:t>
      </w:r>
      <w:r>
        <w:t xml:space="preserve">— инженерная практика, согласованная с теорией и нормами, но не являющаяся теоремой.</w:t>
      </w:r>
    </w:p>
    <w:p>
      <w:pPr>
        <w:spacing w:after="40"/>
      </w:pPr>
      <w:r>
        <w:rPr>
          <w:b/>
          <w:bCs/>
          <w:color w:val="555555"/>
          <w:sz w:val="17"/>
          <w:szCs w:val="17"/>
        </w:rPr>
        <w:t xml:space="preserve"> [ЭМПИРИКА] </w:t>
      </w:r>
      <w:r>
        <w:t xml:space="preserve">— подтверждено опубликованными экспериментами, а не доказано.</w:t>
      </w:r>
    </w:p>
    <w:p>
      <w:pPr>
        <w:spacing w:after="40"/>
      </w:pPr>
      <w:r>
        <w:rPr>
          <w:b/>
          <w:bCs/>
          <w:color w:val="6A1B9A"/>
          <w:sz w:val="17"/>
          <w:szCs w:val="17"/>
        </w:rPr>
        <w:t xml:space="preserve"> [НОРМА] </w:t>
      </w:r>
      <w:r>
        <w:t xml:space="preserve">— требование стандарта или закона.</w:t>
      </w:r>
    </w:p>
    <w:p>
      <w:pPr>
        <w:spacing w:after="120"/>
      </w:pPr>
      <w:r>
        <w:rPr>
          <w:b/>
          <w:bCs/>
          <w:color w:val="B23A48"/>
          <w:sz w:val="17"/>
          <w:szCs w:val="17"/>
        </w:rPr>
        <w:t xml:space="preserve"> [НЕ ТЕОРЕМА] </w:t>
      </w:r>
      <w:r>
        <w:t xml:space="preserve">— часто встречающееся утверждение, которое теория НЕ доказывает (важно не выдавать за доказанное).</w:t>
      </w:r>
    </w:p>
    <w:p>
      <w:pPr>
        <w:spacing w:after="120" w:line="276"/>
      </w:pPr>
      <w:r>
        <w:rPr>
          <w:b/>
          <w:bCs/>
        </w:rPr>
        <w:t xml:space="preserve">Связь документов.</w:t>
      </w:r>
      <w:r>
        <w:t xml:space="preserve"> Статья даёт интуицию и таблицы решений; это приложение — обоснования; Приложение B — индустриальный пример (Siemens × NVIDIA). Термины во всех трёх совпадают: см. словарь §1.</w:t>
      </w:r>
    </w:p>
    <w:p>
      <w:pPr>
        <w:pBdr>
          <w:left w:val="single" w:color="1F6FB2" w:sz="18" w:space="14"/>
        </w:pBdr>
        <w:shd w:fill="EAF3FB" w:val="clear"/>
        <w:spacing w:after="60" w:before="100" w:line="276"/>
        <w:ind w:left="120" w:right="120"/>
      </w:pPr>
      <w:r>
        <w:rPr>
          <w:b/>
          <w:bCs/>
          <w:color w:val="14517F"/>
        </w:rPr>
        <w:t xml:space="preserve">Главное за 5 строк (если не хотите погружаться в математику).</w:t>
      </w:r>
    </w:p>
    <w:p>
      <w:pPr>
        <w:pBdr>
          <w:left w:val="single" w:color="1F6FB2" w:sz="18" w:space="14"/>
        </w:pBdr>
        <w:shd w:fill="EAF3FB" w:val="clear"/>
        <w:spacing w:after="30" w:line="272"/>
        <w:ind w:left="120" w:right="120"/>
      </w:pPr>
      <w:r>
        <w:t xml:space="preserve">1. Жёсткое требование («так нельзя никогда») = детерминированная проверка (правила/AST, при возможности — формальный проверяющий).</w:t>
      </w:r>
    </w:p>
    <w:p>
      <w:pPr>
        <w:pBdr>
          <w:left w:val="single" w:color="1F6FB2" w:sz="18" w:space="14"/>
        </w:pBdr>
        <w:shd w:fill="EAF3FB" w:val="clear"/>
        <w:spacing w:after="30" w:line="272"/>
        <w:ind w:left="120" w:right="120"/>
      </w:pPr>
      <w:r>
        <w:t xml:space="preserve">2. Мягкое требование («чем лучше») = ИИ/модель плюс честная оценка уверенности (conformal).</w:t>
      </w:r>
    </w:p>
    <w:p>
      <w:pPr>
        <w:pBdr>
          <w:left w:val="single" w:color="1F6FB2" w:sz="18" w:space="14"/>
        </w:pBdr>
        <w:shd w:fill="EAF3FB" w:val="clear"/>
        <w:spacing w:after="30" w:line="272"/>
        <w:ind w:left="120" w:right="120"/>
      </w:pPr>
      <w:r>
        <w:t xml:space="preserve">3. Никакой объём данных не превращает «в среднем» в «всегда» — это доказанный факт, а не пессимизм (§2).</w:t>
      </w:r>
    </w:p>
    <w:p>
      <w:pPr>
        <w:pBdr>
          <w:left w:val="single" w:color="1F6FB2" w:sz="18" w:space="14"/>
        </w:pBdr>
        <w:shd w:fill="EAF3FB" w:val="clear"/>
        <w:spacing w:after="30" w:line="272"/>
        <w:ind w:left="120" w:right="120"/>
      </w:pPr>
      <w:r>
        <w:t xml:space="preserve">4. Полукольца, robust/chance и shielding нужны, чтобы строго обосновать архитектуру, а не чтобы их «применять» каждый день.</w:t>
      </w:r>
    </w:p>
    <w:p>
      <w:pPr>
        <w:pBdr>
          <w:left w:val="single" w:color="1F6FB2" w:sz="18" w:space="14"/>
        </w:pBdr>
        <w:shd w:fill="EAF3FB" w:val="clear"/>
        <w:spacing w:after="120" w:line="272"/>
        <w:ind w:left="120" w:right="120"/>
      </w:pPr>
      <w:r>
        <w:t xml:space="preserve">5. «Точность 99% на тесте» ≠ уровень безопасности: это величины из разных пространств (§10).</w:t>
      </w:r>
    </w:p>
    <w:p>
      <w:pPr>
        <w:spacing w:after="120" w:line="276"/>
      </w:pPr>
      <w:r>
        <w:rPr>
          <w:b/>
          <w:bCs/>
        </w:rPr>
        <w:t xml:space="preserve">Как читать дальше.</w:t>
      </w:r>
      <w:r>
        <w:t xml:space="preserve"> Разделы 2–7 — строгие обоснования; инженер-практик может ограничиться §1 (словарь), этим резюме и §8 (классы B1/B2/B3), §10 (нормы) и §11 (сводная таблица).</w:t>
      </w:r>
    </w:p>
    <w:p>
      <w:pPr>
        <w:spacing w:after="80" w:before="140"/>
      </w:pPr>
      <w:r>
        <w:rPr>
          <w:b/>
          <w:bCs/>
          <w:color w:val="14517F"/>
          <w:sz w:val="24"/>
          <w:szCs w:val="24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Словарь: термин статьи → строгое понятие → где раскрыт</w:t>
      </w:r>
    </w:p>
    <w:p>
      <w:pPr>
        <w:spacing w:after="120" w:line="276"/>
      </w:pPr>
      <w:r>
        <w:t xml:space="preserve">Левый столбец — слова, которыми пользуется статья. Средний — строгое понятие. Правый — раздел этого приложения.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Термин в статье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Что это строго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Раздел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«угадывающая» модель, нейросеть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вероятностная модель: минимизирует ожидание потерь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открытый контур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слой генерации и предложений, без доступа к оборудованию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замкнутый контур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слой детерминированной проверки допустимости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§4, §8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жёсткое требование («так нельзя никогда»)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robust-ограничение: g(x, ξ) ≤ 0 для всех ξ ∈ U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мягкое требование («чем лучше, тем лучше»)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chance-ограничение / минимизация ожидания (хвост ε допустим)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§2, §3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«в среднем правильно» / «правильно всегда»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ожидание E[·] против худшего случая 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забор жёстких ограничений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набор robust-ограничений, проверяемых детерминированно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программа-сторож, проверяющий модуль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надёжный проверяющий (sound-оракул)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виртуальная модель завода, цифровой двойник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дорогой sound-оракул (физическая симуляция)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§8, Прил. 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приблизительная оценка с честной пометкой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честная мера уверенности (conformal prediction)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эталонные примеры / эталонные проверки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проверка самих правил (golden-тесты) — класс B3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автоматический разбор текста программы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анализ дерева разбора (синтаксический анализатор)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наблюдение в работе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контроль во время исполнения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§6, §8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запрет по умолчанию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нет проверки / проверка не пройдена → блокировать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безопасный отказ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отказ самого контура → безопасное состояние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§8, §10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классы (для теоретиков)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 / B2 / B3 — три ветви для жёстких требований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§8</w:t>
            </w:r>
          </w:p>
        </w:tc>
      </w:tr>
    </w:tbl>
    <w:p>
      <w:pPr>
        <w:pStyle w:val="Heading1"/>
      </w:pPr>
      <w:r>
        <w:t xml:space="preserve">2. Две формы требований (раскрытие «жёсткое / мягкое»)</w:t>
      </w:r>
    </w:p>
    <w:p>
      <w:pPr>
        <w:spacing w:after="120" w:line="276"/>
      </w:pPr>
      <w:r>
        <w:t xml:space="preserve">Пусть x — решение (уставка, настройка, фрагмент кода), ξ — неопределённый параметр (давление, задержка, входные данные), U — множество допустимых сценариев, g(x, ξ) ≤ 0 — ограничение.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Тип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Строго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Термин в статье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robust (жёсткое)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g(x, ξ) ≤ 0 для всех ξ ∈ U (худший случай)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«так нельзя никогда»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chance (мягкое)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P[ g(x, ξ) ≤ 0 ] ≥ 1 − ε (хвост ε допустим)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«чем лучше, тем лучше»</w:t>
            </w:r>
          </w:p>
        </w:tc>
      </w:tr>
    </w:tbl>
    <w:p>
      <w:pPr>
        <w:spacing w:after="110" w:line="274"/>
        <w:ind w:left="360" w:hanging="360"/>
      </w:pPr>
      <w:r>
        <w:rPr>
          <w:b/>
          <w:bCs/>
          <w:color w:val="2E7D32"/>
          <w:sz w:val="17"/>
          <w:szCs w:val="17"/>
        </w:rPr>
        <w:t xml:space="preserve"> [ФАКТ] </w:t>
      </w:r>
      <w:r>
        <w:rPr>
          <w:b/>
          <w:bCs/>
        </w:rPr>
        <w:t xml:space="preserve">Хвост ε неустраним данными. </w:t>
      </w:r>
      <w:r>
        <w:t xml:space="preserve">При ε &gt; 0 chance-ограничение по построению допускает нарушение в доле случаев ε; никакой объём обучающих данных и никакая функция потерь не превращают его в robust-ограничение. Это разница между утверждением о вероятности и утверждением «для всех».</w:t>
      </w:r>
    </w:p>
    <w:p>
      <w:pPr>
        <w:spacing w:after="110" w:line="274"/>
        <w:ind w:left="360" w:hanging="360"/>
      </w:pPr>
      <w:r>
        <w:rPr>
          <w:b/>
          <w:bCs/>
          <w:color w:val="1F6FB2"/>
          <w:sz w:val="17"/>
          <w:szCs w:val="17"/>
        </w:rPr>
        <w:t xml:space="preserve"> [СЛЕДСТВИЕ] </w:t>
      </w:r>
      <w:r>
        <w:t xml:space="preserve">Жёсткое требование (по определению — выполняется в каждом случае) нельзя обеспечить только вероятностной моделью. Нужен слой, дающий поточечную гарантию для конкретного x.</w:t>
      </w:r>
    </w:p>
    <w:p>
      <w:pPr>
        <w:pStyle w:val="Heading1"/>
      </w:pPr>
      <w:r>
        <w:t xml:space="preserve">3. Открытый контур (раскрытие «угадывающая модель», «в среднем»)</w:t>
      </w:r>
    </w:p>
    <w:p>
      <w:pPr>
        <w:spacing w:after="120" w:line="276"/>
      </w:pPr>
      <w:r>
        <w:t xml:space="preserve">Открытый контур оптимизирует среднее: минимизирует E_ξ[ L(x, ξ) ] при P[g ≤ 0] ≥ 1 − ε. Аппарат — chance-constrained programming (Charnes &amp; Cooper, 1959; выпуклые аппроксимации — Nemirovski &amp; Shapiro, 2006).</w:t>
      </w:r>
    </w:p>
    <w:p>
      <w:pPr>
        <w:spacing w:after="110" w:line="274"/>
        <w:ind w:left="360" w:hanging="360"/>
      </w:pPr>
      <w:r>
        <w:rPr>
          <w:b/>
          <w:bCs/>
          <w:color w:val="2E7D32"/>
          <w:sz w:val="17"/>
          <w:szCs w:val="17"/>
        </w:rPr>
        <w:t xml:space="preserve"> [ФАКТ] </w:t>
      </w:r>
      <w:r>
        <w:t xml:space="preserve">Обучение нейросети минимизирует ожидание потерь — это утверждение про среднее по распределению, а не про худший случай.</w:t>
      </w:r>
    </w:p>
    <w:p>
      <w:pPr>
        <w:spacing w:after="110" w:line="274"/>
        <w:ind w:left="360" w:hanging="360"/>
      </w:pPr>
      <w:r>
        <w:rPr>
          <w:b/>
          <w:bCs/>
          <w:color w:val="B26B00"/>
          <w:sz w:val="17"/>
          <w:szCs w:val="17"/>
        </w:rPr>
        <w:t xml:space="preserve"> [РЕКОМЕНДАЦИЯ] </w:t>
      </w:r>
      <w:r>
        <w:t xml:space="preserve">Долю допустимых нарушений ε задавать осознанно, как проектный параметр, а не принимать «точность модели на тесте» за ε.</w:t>
      </w:r>
    </w:p>
    <w:p>
      <w:pPr>
        <w:pStyle w:val="Heading1"/>
      </w:pPr>
      <w:r>
        <w:t xml:space="preserve">4. Замкнутый контур и цена робастности (раскрытие «забор»)</w:t>
      </w:r>
    </w:p>
    <w:p>
      <w:pPr>
        <w:spacing w:after="120" w:line="276"/>
      </w:pPr>
      <w:r>
        <w:t xml:space="preserve">Замкнутый контур требует допустимости при любом ξ ∈ U — это robust optimization. Soyster (1973) дал предельно консервативную форму; Ben-Tal &amp; Nemirovski и El Ghaoui — вычислимые модели; Bertsimas &amp; Sim (2004) ввели «бюджет неопределённости» Γ, плавно регулирующий консерватизм (вероятность нарушения ≈ exp(−Γ²/2n)).</w:t>
      </w:r>
    </w:p>
    <w:p>
      <w:pPr>
        <w:spacing w:after="110" w:line="274"/>
        <w:ind w:left="360" w:hanging="360"/>
      </w:pPr>
      <w:r>
        <w:rPr>
          <w:b/>
          <w:bCs/>
          <w:color w:val="2E7D32"/>
          <w:sz w:val="17"/>
          <w:szCs w:val="17"/>
        </w:rPr>
        <w:t xml:space="preserve"> [ФАКТ] </w:t>
      </w:r>
      <w:r>
        <w:t xml:space="preserve">robust-оптимизация гарантирует допустимость для всех ξ ∈ U; за это платят ухудшением среднего результата — доказанный трейд-офф, «цена робастности» (Bertsimas &amp; Sim, 2004).</w:t>
      </w:r>
    </w:p>
    <w:p>
      <w:pPr>
        <w:spacing w:after="110" w:line="274"/>
        <w:ind w:left="360" w:hanging="360"/>
      </w:pPr>
      <w:r>
        <w:rPr>
          <w:b/>
          <w:bCs/>
          <w:color w:val="B26B00"/>
          <w:sz w:val="17"/>
          <w:szCs w:val="17"/>
        </w:rPr>
        <w:t xml:space="preserve"> [РЕКОМЕНДАЦИЯ] </w:t>
      </w:r>
      <w:r>
        <w:t xml:space="preserve">«Забор» — жёсткие ограничения — задавать явно и проверять для каждого изменения, заранее принимая, что среднее станет чуть хуже. Это плата за гарантию, а не дефект.</w:t>
      </w:r>
    </w:p>
    <w:p>
      <w:pPr>
        <w:pStyle w:val="Heading1"/>
      </w:pPr>
      <w:r>
        <w:t xml:space="preserve">5. Язык «жёсткое / мягкое»: semiring-CSP (с честной оговоркой)</w:t>
      </w:r>
    </w:p>
    <w:p>
      <w:pPr>
        <w:spacing w:after="120" w:line="276"/>
      </w:pPr>
      <w:r>
        <w:t xml:space="preserve">Чтобы держать жёсткие и мягкие требования в одной схеме, не смешивая их, удобен semiring-based CSP (Bistarelli, Montanari &amp; Rossi, 1997).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Полукольцо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Что моделирует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({Да, Нет}, ИЛИ, И)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классическое жёсткое да/нет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([0,1], max, min)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мягкое: степень удовлетворения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(числа ≥ 0, min, +)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мягкое: стоимость/штраф</w:t>
            </w:r>
          </w:p>
        </w:tc>
      </w:tr>
    </w:tbl>
    <w:p>
      <w:pPr>
        <w:spacing w:after="110" w:line="274"/>
        <w:ind w:left="360" w:hanging="360"/>
      </w:pPr>
      <w:r>
        <w:rPr>
          <w:b/>
          <w:bCs/>
          <w:color w:val="2E7D32"/>
          <w:sz w:val="17"/>
          <w:szCs w:val="17"/>
        </w:rPr>
        <w:t xml:space="preserve"> [ФАКТ] </w:t>
      </w:r>
      <w:r>
        <w:t xml:space="preserve">Полукольцо позволяет в одной формальной схеме держать жёсткие (да/нет) и мягкие (степень) требования, не теряя различия между ними.</w:t>
      </w:r>
    </w:p>
    <w:p>
      <w:pPr>
        <w:spacing w:after="110" w:line="274"/>
        <w:ind w:left="360" w:hanging="360"/>
      </w:pPr>
      <w:r>
        <w:rPr>
          <w:b/>
          <w:bCs/>
          <w:color w:val="B23A48"/>
          <w:sz w:val="17"/>
          <w:szCs w:val="17"/>
        </w:rPr>
        <w:t xml:space="preserve"> [НЕ ТЕОРЕМА] </w:t>
      </w:r>
      <w:r>
        <w:t xml:space="preserve">Полукольцо </w:t>
      </w:r>
      <w:r>
        <w:rPr>
          <w:b/>
          <w:bCs/>
        </w:rPr>
        <w:t xml:space="preserve">не доказывает</w:t>
      </w:r>
      <w:r>
        <w:t xml:space="preserve"> тезис «жёсткое → детерминизм». Оно даёт только язык. Решение «жёсткое отдаём детерминированному контуру» — инженерный шаг, и он опирается на наличие дешёвого надёжного проверяющего (§8), а не на полукольцо. Польза полукольца — защита от ошибки: не превращать запрет в «штраф с большим весом», который оптимизатор однажды перевесит.</w:t>
      </w:r>
    </w:p>
    <w:p>
      <w:pPr>
        <w:pStyle w:val="Heading1"/>
      </w:pPr>
      <w:r>
        <w:t xml:space="preserve">6. Честная уверенность (раскрытие «приблизительная оценка с честной пометкой»)</w:t>
      </w:r>
    </w:p>
    <w:p>
      <w:pPr>
        <w:spacing w:after="120" w:line="276"/>
      </w:pPr>
      <w:r>
        <w:t xml:space="preserve">Когда дешёвого надёжного проверяющего нет (класс B2), нужна честно измеренная уверенность. Conformal prediction (Vovk, Gammerman &amp; Shafer, 2005; практичное введение — Angelopoulos &amp; Bates, 2023) даёт множество ответов, накрывающее истину с заданной вероятностью.</w:t>
      </w:r>
    </w:p>
    <w:p>
      <w:pPr>
        <w:spacing w:after="120" w:line="276"/>
      </w:pPr>
      <w:r>
        <w:t xml:space="preserve">Как это считается по шагам:</w:t>
      </w:r>
    </w:p>
    <w:p>
      <w:pPr>
        <w:pStyle w:val="ListParagraph"/>
        <w:numPr>
          <w:ilvl w:val="1"/>
          <w:numId w:val="2"/>
        </w:numPr>
        <w:spacing w:after="50" w:line="268"/>
      </w:pPr>
      <w:r>
        <w:t xml:space="preserve">на калибровочной выборке n считаем баллы несоответствия s_i = |y_i − f(x_i)|;</w:t>
      </w:r>
    </w:p>
    <w:p>
      <w:pPr>
        <w:pStyle w:val="ListParagraph"/>
        <w:numPr>
          <w:ilvl w:val="1"/>
          <w:numId w:val="2"/>
        </w:numPr>
        <w:spacing w:after="50" w:line="268"/>
      </w:pPr>
      <w:r>
        <w:t xml:space="preserve">берём порог q = ⌈(n+1)(1−δ)⌉-й по возрастанию (n = 1000, δ = 0.1 → 901-й из 1000);</w:t>
      </w:r>
    </w:p>
    <w:p>
      <w:pPr>
        <w:pStyle w:val="ListParagraph"/>
        <w:numPr>
          <w:ilvl w:val="1"/>
          <w:numId w:val="2"/>
        </w:numPr>
        <w:spacing w:after="50" w:line="268"/>
      </w:pPr>
      <w:r>
        <w:t xml:space="preserve">ответ: C(x) = [ f(x) − q, f(x) + q ].</w:t>
      </w:r>
    </w:p>
    <w:p>
      <w:pPr>
        <w:spacing w:after="120" w:line="276"/>
      </w:pPr>
      <w:r>
        <w:rPr>
          <w:b/>
          <w:bCs/>
        </w:rPr>
        <w:t xml:space="preserve">Совсем простой пример.</w:t>
      </w:r>
      <w:r>
        <w:t xml:space="preserve"> Пусть калибровочных примеров n = 100, δ = 0.1. Берём ⌈101·0.9⌉ = 91-й по возрастанию балл ошибки. Словами: мы берём такую величину ошибки, крупнее которой встречается лишь ~10% худших случаев, и используем её как запас. Любой новый ответ обкладываем этим запасом — и тогда истина попадает внутрь не реже чем в 90% случаев.</w:t>
      </w:r>
    </w:p>
    <w:p>
      <w:pPr>
        <w:spacing w:after="110" w:line="274"/>
        <w:ind w:left="360" w:hanging="360"/>
      </w:pPr>
      <w:r>
        <w:rPr>
          <w:b/>
          <w:bCs/>
          <w:color w:val="2E7D32"/>
          <w:sz w:val="17"/>
          <w:szCs w:val="17"/>
        </w:rPr>
        <w:t xml:space="preserve"> [ФАКТ] </w:t>
      </w:r>
      <w:r>
        <w:t xml:space="preserve">При обмениваемости данных множество C(x) накрывает истину с вероятностью ≥ 1 − δ — доказано, без предположений о виде распределения.</w:t>
      </w:r>
    </w:p>
    <w:p>
      <w:pPr>
        <w:spacing w:after="110" w:line="274"/>
        <w:ind w:left="360" w:hanging="360"/>
      </w:pPr>
      <w:r>
        <w:rPr>
          <w:b/>
          <w:bCs/>
          <w:color w:val="2E7D32"/>
          <w:sz w:val="17"/>
          <w:szCs w:val="17"/>
        </w:rPr>
        <w:t xml:space="preserve"> [ФАКТ] </w:t>
      </w:r>
      <w:r>
        <w:t xml:space="preserve">При сдвиге распределения (новая партия сырья, смена режима) гарантия теряется; восстанавливается только взвешенными версиями при известном отношении плотностей (Tibshirani et al., 2019; Barber et al., 2023).</w:t>
      </w:r>
    </w:p>
    <w:p>
      <w:pPr>
        <w:spacing w:after="110" w:line="274"/>
        <w:ind w:left="360" w:hanging="360"/>
      </w:pPr>
      <w:r>
        <w:rPr>
          <w:b/>
          <w:bCs/>
          <w:color w:val="B26B00"/>
          <w:sz w:val="17"/>
          <w:szCs w:val="17"/>
        </w:rPr>
        <w:t xml:space="preserve"> [РЕКОМЕНДАЦИЯ] </w:t>
      </w:r>
      <w:r>
        <w:t xml:space="preserve">«Честную пометку» обязательно сопровождать контролем сдвига распределения. Без него пометка перестаёт быть честной — это прямое следствие предыдущего факта.</w:t>
      </w:r>
    </w:p>
    <w:p>
      <w:pPr>
        <w:spacing w:after="110" w:line="274"/>
        <w:ind w:left="360" w:hanging="360"/>
      </w:pPr>
      <w:r>
        <w:rPr>
          <w:b/>
          <w:bCs/>
          <w:color w:val="B26B00"/>
          <w:sz w:val="17"/>
          <w:szCs w:val="17"/>
        </w:rPr>
        <w:t xml:space="preserve"> [РЕКОМЕНДАЦИЯ] </w:t>
      </w:r>
      <w:r>
        <w:rPr>
          <w:b/>
          <w:bCs/>
        </w:rPr>
        <w:t xml:space="preserve">Safe-Failover для B2.</w:t>
      </w:r>
      <w:r>
        <w:t xml:space="preserve"> При обнаружении сдвига распределения (covariate shift) или падении измеренной уверенности ниже целевого 1 − δ система обязана автоматически перейти в безопасный режим: запрет по умолчанию, передача управления классическому регулятору/уставкам по умолчанию или эскалация человеку. B2 без такого аварийного перехода — не «почти-жёсткий», а скрыто небезопасный.</w:t>
      </w:r>
    </w:p>
    <w:p>
      <w:pPr>
        <w:spacing w:after="120" w:line="276"/>
      </w:pPr>
      <w:r>
        <w:rPr>
          <w:b/>
          <w:bCs/>
        </w:rPr>
        <w:t xml:space="preserve">Где B2 действительно уместен.</w:t>
      </w:r>
      <w:r>
        <w:t xml:space="preserve"> Там, где жёсткого требования нет, а нужна честная оценка риска (ранжирование аномалий, приоритизация, советы оператору при сохранённом ручном контроле). Для safety-критичного «никогда нельзя» conformal не заменяет детерминированную проверку — он лишь честно сообщает, когда модели доверять нельзя.</w:t>
      </w:r>
    </w:p>
    <w:p>
      <w:pPr>
        <w:pStyle w:val="Heading1"/>
      </w:pPr>
      <w:r>
        <w:t xml:space="preserve">7. Когда ИИ действует, а не советует (constrained MDP, safe RL, shielding)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Constrained MDP</w:t>
      </w:r>
      <w:r>
        <w:t xml:space="preserve"> (Altman, 1999) — политика удерживает ожидаемую стоимость нарушений ниже порога (мягкий уровень).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Constrained Policy Optimization</w:t>
      </w:r>
      <w:r>
        <w:t xml:space="preserve"> (Achiam et al., 2017) — обучение с приближённым удержанием ограничений.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</w:rPr>
        <w:t xml:space="preserve">Shielding</w:t>
      </w:r>
      <w:r>
        <w:t xml:space="preserve"> (Alshiekh et al., 2018) — «щит» перехватывает каждое действие и корректирует только небезопасные.</w:t>
      </w:r>
    </w:p>
    <w:p>
      <w:pPr>
        <w:spacing w:after="110" w:line="274"/>
        <w:ind w:left="360" w:hanging="360"/>
      </w:pPr>
      <w:r>
        <w:rPr>
          <w:b/>
          <w:bCs/>
          <w:color w:val="2E7D32"/>
          <w:sz w:val="17"/>
          <w:szCs w:val="17"/>
        </w:rPr>
        <w:t xml:space="preserve"> [ФАКТ] </w:t>
      </w:r>
      <w:r>
        <w:t xml:space="preserve">Shielding обеспечивает поточечную блокировку небезопасного действия по формальной спецификации — это доказанное свойство метода.</w:t>
      </w:r>
    </w:p>
    <w:p>
      <w:pPr>
        <w:spacing w:after="110" w:line="274"/>
        <w:ind w:left="360" w:hanging="360"/>
      </w:pPr>
      <w:r>
        <w:rPr>
          <w:b/>
          <w:bCs/>
          <w:color w:val="1F6FB2"/>
          <w:sz w:val="17"/>
          <w:szCs w:val="17"/>
        </w:rPr>
        <w:t xml:space="preserve"> [СЛЕДСТВИЕ] </w:t>
      </w:r>
      <w:r>
        <w:t xml:space="preserve">Если ИИ выбирает действия (а не только советует), жёсткий слой должен стоять на уровне действий (щит), а не только в обучении.</w:t>
      </w:r>
    </w:p>
    <w:p>
      <w:pPr>
        <w:pStyle w:val="Heading1"/>
      </w:pPr>
      <w:r>
        <w:t xml:space="preserve">8. Надёжный проверяющий и классы B1/B2/B3</w:t>
      </w:r>
    </w:p>
    <w:p>
      <w:pPr>
        <w:spacing w:after="120" w:line="276"/>
      </w:pPr>
      <w:r>
        <w:rPr>
          <w:b/>
          <w:bCs/>
        </w:rPr>
        <w:t xml:space="preserve">Надёжный проверяющий (sound-оракул)</w:t>
      </w:r>
      <w:r>
        <w:t xml:space="preserve"> — инструмент, дающий вердикт «x допустим» со свойством </w:t>
      </w:r>
      <w:r>
        <w:rPr>
          <w:i/>
          <w:iCs/>
        </w:rPr>
        <w:t xml:space="preserve">надёжности (soundness)</w:t>
      </w:r>
      <w:r>
        <w:t xml:space="preserve">: ложных «ОК» не бывает (если сказал «ОК» — ограничение действительно выполнено). В статье это «программа-сторож». Дешёвые проверяющие: анализатор текста программы, проверка типов, диапазонов, шаблон, онтология. Дорогой — цифровой двойник.</w:t>
      </w:r>
    </w:p>
    <w:p>
      <w:pPr>
        <w:spacing w:after="110" w:line="274"/>
        <w:ind w:left="360" w:hanging="360"/>
      </w:pPr>
      <w:r>
        <w:rPr>
          <w:b/>
          <w:bCs/>
          <w:color w:val="2E7D32"/>
          <w:sz w:val="17"/>
          <w:szCs w:val="17"/>
        </w:rPr>
        <w:t xml:space="preserve"> [ФАКТ] </w:t>
      </w:r>
      <w:r>
        <w:t xml:space="preserve">Надёжность (soundness) — отсутствие ложных «ОК» — это свойство конкретного проверяющего, которое можно доказать (например, для проверки диапазона значений). Нас интересует именно soundness, а не полнота: безопасно иногда ложно забраковать корректное x.</w:t>
      </w:r>
    </w:p>
    <w:p>
      <w:pPr>
        <w:spacing w:after="120" w:line="276"/>
      </w:pPr>
      <w:r>
        <w:t xml:space="preserve">Три ветви для жёстких требований (то, что в статье названо «классами для теоретиков»). Ветвь B1 полезно разделить на два подтипа по силе проверяющего: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3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Условие / чем проверяем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В статье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Гарантия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правила, диапазоны, шаблоны, AST-анализ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«программа-сторож»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поточечная по проверяемым правилам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B1b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формальный проверяющий: model checking (LTL/CTL, nuXmv/UPPAAL), SMT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«строгая проверка»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поточечная с доказательством свойств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проверяющего нет / он дорог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«оценка с честной пометкой»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честная, без гарантии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правило само может устареть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«эталонные проверки»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соблюдения правила, не его истинности</w:t>
            </w:r>
          </w:p>
        </w:tc>
      </w:tr>
    </w:tbl>
    <w:p>
      <w:pPr>
        <w:spacing w:after="110" w:line="274"/>
        <w:ind w:left="360" w:hanging="360"/>
      </w:pPr>
      <w:r>
        <w:rPr>
          <w:b/>
          <w:bCs/>
          <w:color w:val="2E7D32"/>
          <w:sz w:val="17"/>
          <w:szCs w:val="17"/>
        </w:rPr>
        <w:t xml:space="preserve"> [ФАКТ] </w:t>
      </w:r>
      <w:r>
        <w:t xml:space="preserve">Различие B1/B2/B3 — это разные типы гарантии, и они не взаимозаменяемы: B2 принципиально не даёт гарантии, B3 гарантирует соблюдение правила, но не его правильность (Clarke &amp; Wing, 1996: формальная корректность относительно спецификации не означает истинности самой спецификации).</w:t>
      </w:r>
    </w:p>
    <w:p>
      <w:pPr>
        <w:spacing w:after="120" w:line="276"/>
      </w:pPr>
      <w:r>
        <w:rPr>
          <w:b/>
          <w:bCs/>
        </w:rPr>
        <w:t xml:space="preserve">Дорожная карта от B1a к B1b.</w:t>
      </w:r>
      <w:r>
        <w:t xml:space="preserve"> Простые запреты и диапазоны естественно выражаются правилами/AST (B1a). Свойства, которые касаются последовательностей и времени («после аварии — всегда останов», «между A и B обязателен интервал»), точнее выражаются темпоральной логикой (LTL/CTL) и проверяются model checker-ом (B1b). Гибридная динамика (физические переменные + дискретная логика) — это hybrid automata и SMT. Переход к B1b повышает класс доказуемых свойств ценой стоимости спецификации; начинать разумно с B1a и поднимать планку там, где цена ошибки это оправдывает.</w:t>
      </w:r>
    </w:p>
    <w:p>
      <w:pPr>
        <w:spacing w:after="110" w:line="274"/>
        <w:ind w:left="360" w:hanging="360"/>
      </w:pPr>
      <w:r>
        <w:rPr>
          <w:b/>
          <w:bCs/>
          <w:color w:val="2E7D32"/>
          <w:sz w:val="17"/>
          <w:szCs w:val="17"/>
        </w:rPr>
        <w:t xml:space="preserve"> [ФАКТ] </w:t>
      </w:r>
      <w:r>
        <w:t xml:space="preserve">Различие «гарантия по распределению» (PAC-обучение, Valiant 1984) и «поточечная гарантия» фундаментально: PAC даёт оценку в среднем по распределению, а safety-требование — по каждому случаю. Это та же граница E[·] vs ∀ из §2.</w:t>
      </w:r>
    </w:p>
    <w:p>
      <w:pPr>
        <w:spacing w:after="110" w:line="274"/>
        <w:ind w:left="360" w:hanging="360"/>
      </w:pPr>
      <w:r>
        <w:rPr>
          <w:b/>
          <w:bCs/>
          <w:color w:val="B26B00"/>
          <w:sz w:val="17"/>
          <w:szCs w:val="17"/>
        </w:rPr>
        <w:t xml:space="preserve"> [РЕКОМЕНДАЦИЯ] </w:t>
      </w:r>
      <w:r>
        <w:rPr>
          <w:b/>
          <w:bCs/>
        </w:rPr>
        <w:t xml:space="preserve">Запрет по умолчанию</w:t>
      </w:r>
      <w:r>
        <w:t xml:space="preserve">: нет проверки или проверяющий недоступен → блокировать, а не пропускать. Это практика, согласованная с нормами безопасности, а не теорема оптимизации.</w:t>
      </w:r>
    </w:p>
    <w:p>
      <w:pPr>
        <w:spacing w:after="110" w:line="274"/>
        <w:ind w:left="360" w:hanging="360"/>
      </w:pPr>
      <w:r>
        <w:rPr>
          <w:b/>
          <w:bCs/>
          <w:color w:val="6A1B9A"/>
          <w:sz w:val="17"/>
          <w:szCs w:val="17"/>
        </w:rPr>
        <w:t xml:space="preserve"> [НОРМА] </w:t>
      </w:r>
      <w:r>
        <w:rPr>
          <w:b/>
          <w:bCs/>
        </w:rPr>
        <w:t xml:space="preserve">Безопасный отказ</w:t>
      </w:r>
      <w:r>
        <w:t xml:space="preserve">: отказ самого контура проверки должен переводить систему в безопасное состояние. Это требование функциональной безопасности (§10), а не оптимизационный результат.</w:t>
      </w:r>
    </w:p>
    <w:p>
      <w:pPr>
        <w:spacing w:after="120" w:line="276"/>
      </w:pPr>
      <w:r>
        <w:rPr>
          <w:b/>
          <w:bCs/>
        </w:rPr>
        <w:t xml:space="preserve">Математический отказ против функционального.</w:t>
      </w:r>
      <w:r>
        <w:t xml:space="preserve"> Важно не путать два события. </w:t>
      </w:r>
      <w:r>
        <w:rPr>
          <w:i/>
          <w:iCs/>
        </w:rPr>
        <w:t xml:space="preserve">Математический отказ</w:t>
      </w:r>
      <w:r>
        <w:t xml:space="preserve"> — ИИ в открытом контуре выдал некорректную уставку — это </w:t>
      </w:r>
      <w:r>
        <w:rPr>
          <w:b/>
          <w:bCs/>
        </w:rPr>
        <w:t xml:space="preserve">нормальный рабочий процесс</w:t>
      </w:r>
      <w:r>
        <w:t xml:space="preserve">: его безболезненно гасит «забор» жёстких ограничений, объект ничего не замечает. </w:t>
      </w:r>
      <w:r>
        <w:rPr>
          <w:i/>
          <w:iCs/>
        </w:rPr>
        <w:t xml:space="preserve">Функциональный отказ</w:t>
      </w:r>
      <w:r>
        <w:t xml:space="preserve"> — отказал сам проверяющий (sound-оракул): это уже нарушение функциональной безопасности (IEC 61508), требующее немедленного перевода объекта в безопасное состояние. Первое — ожидаемо и допустимо, второе — событие safety-уровня.</w:t>
      </w:r>
    </w:p>
    <w:p>
      <w:pPr>
        <w:pStyle w:val="Heading1"/>
      </w:pPr>
      <w:r>
        <w:t xml:space="preserve">9. Подтверждение паттерна в литературе по контроллерам</w:t>
      </w:r>
    </w:p>
    <w:p>
      <w:pPr>
        <w:spacing w:after="120" w:line="276"/>
      </w:pPr>
      <w:r>
        <w:t xml:space="preserve">Двухконтурная идея встречается в свежих работах по генерации кода для контроллеров: нейросеть (открытый контур) обкладывают внешней проверкой (замкнутый).</w:t>
      </w:r>
    </w:p>
    <w:p>
      <w:pPr>
        <w:spacing w:after="110" w:line="274"/>
        <w:ind w:left="360" w:hanging="360"/>
      </w:pPr>
      <w:r>
        <w:rPr>
          <w:b/>
          <w:bCs/>
          <w:color w:val="555555"/>
          <w:sz w:val="17"/>
          <w:szCs w:val="17"/>
        </w:rPr>
        <w:t xml:space="preserve"> [ЭМПИРИКА] </w:t>
      </w:r>
      <w:r>
        <w:t xml:space="preserve">LLM4PLC (Fakih et al., 2024) использует проверочную программу nuXmv; Agents4PLC сообщает до ~68.8% успешной формальной проверки на 23 задачах; работы по генерации с обратной связью показывают рост качества. LLM4SFC формулирует ключевое: правильный синтаксис не гарантирует безопасность во время исполнения. Это подтверждение паттерна экспериментами, а не доказательство.</w:t>
      </w:r>
    </w:p>
    <w:p>
      <w:pPr>
        <w:pStyle w:val="Heading1"/>
      </w:pPr>
      <w:r>
        <w:t xml:space="preserve">10. Привязка к нормам безопасности</w:t>
      </w:r>
    </w:p>
    <w:p>
      <w:pPr>
        <w:spacing w:after="120" w:line="276"/>
      </w:pPr>
      <w:r>
        <w:t xml:space="preserve">Замкнутый контур обязан быть проверкой, совместимой со стандартами (аудируемые правила, явное выделение функций безопасности, безопасный отказ).</w:t>
      </w:r>
    </w:p>
    <w:p>
      <w:pPr>
        <w:pStyle w:val="Heading2"/>
      </w:pPr>
      <w:r>
        <w:t xml:space="preserve">10.1. IEC 61508 — уровни полноты безопасности (SIL, режим низкого запроса)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SIL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Вероятность отказа на запрос (PFDavg)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Снижение риска (RRF)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 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10⁻⁵ … &lt; 10⁻⁴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100 000 … 10 000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 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10⁻⁴ … &lt; 10⁻³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10 000 … 1 000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 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10⁻³ … &lt; 10⁻²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1 000 … 100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 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10⁻² … &lt; 10⁻¹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… 10</w:t>
            </w:r>
          </w:p>
        </w:tc>
      </w:tr>
    </w:tbl>
    <w:p>
      <w:pPr>
        <w:pStyle w:val="Heading2"/>
      </w:pPr>
      <w:r>
        <w:t xml:space="preserve">10.2. ISO 13849-1 — уровни производительности (отказ/час)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Средняя вероятность опасного отказа (1/ч)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Грубое соответствие SIL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10⁻⁵ … &lt; 10⁻⁴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 / c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3·10⁻⁶ … &lt; 10⁻⁵ / ≥ 10⁻⁶ … &lt; 3·10⁻⁶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 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10⁻⁷ … &lt; 10⁻⁶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 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10⁻⁸ … &lt; 10⁻⁷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 3</w:t>
            </w:r>
          </w:p>
        </w:tc>
      </w:tr>
    </w:tbl>
    <w:p>
      <w:pPr>
        <w:spacing w:after="110" w:line="274"/>
        <w:ind w:left="360" w:hanging="360"/>
      </w:pPr>
      <w:r>
        <w:rPr>
          <w:b/>
          <w:bCs/>
          <w:color w:val="6A1B9A"/>
          <w:sz w:val="17"/>
          <w:szCs w:val="17"/>
        </w:rPr>
        <w:t xml:space="preserve"> [НОРМА] </w:t>
      </w:r>
      <w:r>
        <w:t xml:space="preserve">Прочие опоры: IEC 61511 (приборная безопасность процессов), IEC 62443 (защита АСУ ТП от вмешательства — важно для изолированного контура).</w:t>
      </w:r>
    </w:p>
    <w:p>
      <w:pPr>
        <w:spacing w:after="110" w:line="274"/>
        <w:ind w:left="360" w:hanging="360"/>
      </w:pPr>
      <w:r>
        <w:rPr>
          <w:b/>
          <w:bCs/>
          <w:color w:val="2E7D32"/>
          <w:sz w:val="17"/>
          <w:szCs w:val="17"/>
        </w:rPr>
        <w:t xml:space="preserve"> [ФАКТ] </w:t>
      </w:r>
      <w:r>
        <w:t xml:space="preserve">«99.9% на тесте» — это не уровень безопасности. Средняя точность измеряется по распределению, а уровень безопасности — это доказуемая граница вероятности опасного отказа конкретной функции при запросе. Это величины из разных пространств.</w:t>
      </w:r>
    </w:p>
    <w:p>
      <w:pPr>
        <w:spacing w:after="110" w:line="274"/>
        <w:ind w:left="360" w:hanging="360"/>
      </w:pPr>
      <w:r>
        <w:rPr>
          <w:b/>
          <w:bCs/>
          <w:color w:val="6A1B9A"/>
          <w:sz w:val="17"/>
          <w:szCs w:val="17"/>
        </w:rPr>
        <w:t xml:space="preserve"> [НОРМА] </w:t>
      </w:r>
      <w:r>
        <w:t xml:space="preserve">Европейский закон об ИИ (Регламент ЕС 2024/1689, ст. 6) проводит ту же границу: ИИ, который только подсказывает, оптимизирует и повышает эффективность, не считается «компонентом безопасности» — пока его сбой не угрожает людям; функция, отвечающая за безопасность, считается. Это деление на жёсткое и мягкое, закреплённое в законе.</w:t>
      </w:r>
    </w:p>
    <w:p>
      <w:pPr>
        <w:pStyle w:val="Heading1"/>
      </w:pPr>
      <w:r>
        <w:t xml:space="preserve">11. Сводная таблица: рекомендации и их обоснованность</w:t>
      </w:r>
    </w:p>
    <w:p>
      <w:pPr>
        <w:spacing w:after="120" w:line="276"/>
      </w:pPr>
      <w:r>
        <w:t xml:space="preserve">Главная таблица приложения. Каждая рекомендация — с пометкой, </w:t>
      </w:r>
      <w:r>
        <w:rPr>
          <w:b/>
          <w:bCs/>
        </w:rPr>
        <w:t xml:space="preserve">чем именно она подтверждена</w:t>
      </w:r>
      <w:r>
        <w:t xml:space="preserve">. Что не доказано теорией — помечено отдельно.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Утверждение / рекомендация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14517F"/>
                <w:sz w:val="18"/>
                <w:szCs w:val="18"/>
              </w:rPr>
              <w:t xml:space="preserve">Основание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Жёсткое требование нельзя обеспечить только вероятностной моделью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 [ФАКТ]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хвост ε неустраним (§2)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Для жёсткого требования при наличии дешёвой надёжной проверки — детерминированный контур (B1)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 [РЕКОМ.]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следствие при условии «есть надёжный проверяющий» (§8)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Нет дешёвой проверки → честная оценка с пометкой (B2), но без гарантии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 [ФАКТ]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conformal не даёт гарантии (§6)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Правило может устареть → проверять само правило (B3)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 [РЕКОМ.]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различие соблюдение/истинность (§8)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Запрет по умолчанию (нет проверки → блок)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 [РЕКОМ.]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практика безопасности, не теорема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Безопасный отказ контура проверки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6A1B9A"/>
                <w:sz w:val="17"/>
                <w:szCs w:val="17"/>
              </w:rPr>
              <w:t xml:space="preserve"> [НОРМА]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IEC 61508 (§10)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Conformal без контроля сдвига недостоверен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 [ФАКТ]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нарушение обмениваемости (§6)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В сценариях безопасности ИИ — только в открытом контуре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 [РЕКОМ.]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согласовано с §2 и законом (§10)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«Полукольцо доказывает: жёсткое → детерминизм»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 [НЕ ТЕОР.]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полукольцо даёт только язык (§5)</w:t>
            </w:r>
          </w:p>
        </w:tc>
      </w:tr>
    </w:tbl>
    <w:p>
      <w:pPr>
        <w:pStyle w:val="Heading1"/>
      </w:pPr>
      <w:r>
        <w:t xml:space="preserve">12. Источники</w:t>
      </w:r>
    </w:p>
    <w:p>
      <w:pPr>
        <w:spacing w:after="80" w:line="264"/>
        <w:ind w:left="360" w:hanging="360"/>
      </w:pPr>
      <w:r>
        <w:rPr>
          <w:b/>
          <w:bCs/>
        </w:rPr>
        <w:t xml:space="preserve">1. </w:t>
      </w:r>
      <w:r>
        <w:t xml:space="preserve">Bertsimas, D., Sim, M. (2004). The Price of Robustness. Operations Research 52(1):35–53. DOI: 10.1287/opre.1030.0065.</w:t>
      </w:r>
    </w:p>
    <w:p>
      <w:pPr>
        <w:spacing w:after="80" w:line="264"/>
        <w:ind w:left="360" w:hanging="360"/>
      </w:pPr>
      <w:r>
        <w:rPr>
          <w:b/>
          <w:bCs/>
        </w:rPr>
        <w:t xml:space="preserve">2. </w:t>
      </w:r>
      <w:r>
        <w:t xml:space="preserve">Ben-Tal, A., Nemirovski, A. (1998). Robust Convex Optimization. Math. of OR 23(4):769–805.</w:t>
      </w:r>
    </w:p>
    <w:p>
      <w:pPr>
        <w:spacing w:after="80" w:line="264"/>
        <w:ind w:left="360" w:hanging="360"/>
      </w:pPr>
      <w:r>
        <w:rPr>
          <w:b/>
          <w:bCs/>
        </w:rPr>
        <w:t xml:space="preserve">3. </w:t>
      </w:r>
      <w:r>
        <w:t xml:space="preserve">Bertsimas, D., Brown, D. B., Caramanis, C. (2011). Theory and Applications of Robust Optimization. SIAM Review 53(3):464–501.</w:t>
      </w:r>
    </w:p>
    <w:p>
      <w:pPr>
        <w:spacing w:after="80" w:line="264"/>
        <w:ind w:left="360" w:hanging="360"/>
      </w:pPr>
      <w:r>
        <w:rPr>
          <w:b/>
          <w:bCs/>
        </w:rPr>
        <w:t xml:space="preserve">4. </w:t>
      </w:r>
      <w:r>
        <w:t xml:space="preserve">Charnes, A., Cooper, W. W. (1959). Chance-Constrained Programming. Management Science 6(1):73–79.</w:t>
      </w:r>
    </w:p>
    <w:p>
      <w:pPr>
        <w:spacing w:after="80" w:line="264"/>
        <w:ind w:left="360" w:hanging="360"/>
      </w:pPr>
      <w:r>
        <w:rPr>
          <w:b/>
          <w:bCs/>
        </w:rPr>
        <w:t xml:space="preserve">5. </w:t>
      </w:r>
      <w:r>
        <w:t xml:space="preserve">Nemirovski, A., Shapiro, A. (2006). Convex Approximations of Chance Constrained Programs. SIAM J. Optim. 17(4):969–996.</w:t>
      </w:r>
    </w:p>
    <w:p>
      <w:pPr>
        <w:spacing w:after="80" w:line="264"/>
        <w:ind w:left="360" w:hanging="360"/>
      </w:pPr>
      <w:r>
        <w:rPr>
          <w:b/>
          <w:bCs/>
        </w:rPr>
        <w:t xml:space="preserve">6. </w:t>
      </w:r>
      <w:r>
        <w:t xml:space="preserve">Bistarelli, S., Montanari, U., Rossi, F. (1997). Semiring-Based Constraint Solving and Optimization. J. ACM 44(2):201–236. DOI: 10.1145/256303.256306.</w:t>
      </w:r>
    </w:p>
    <w:p>
      <w:pPr>
        <w:spacing w:after="80" w:line="264"/>
        <w:ind w:left="360" w:hanging="360"/>
      </w:pPr>
      <w:r>
        <w:rPr>
          <w:b/>
          <w:bCs/>
        </w:rPr>
        <w:t xml:space="preserve">7. </w:t>
      </w:r>
      <w:r>
        <w:t xml:space="preserve">Vovk, V., Gammerman, A., Shafer, G. (2005). Algorithmic Learning in a Random World. Springer.</w:t>
      </w:r>
    </w:p>
    <w:p>
      <w:pPr>
        <w:spacing w:after="80" w:line="264"/>
        <w:ind w:left="360" w:hanging="360"/>
      </w:pPr>
      <w:r>
        <w:rPr>
          <w:b/>
          <w:bCs/>
        </w:rPr>
        <w:t xml:space="preserve">8. </w:t>
      </w:r>
      <w:r>
        <w:t xml:space="preserve">Angelopoulos, A. N., Bates, S. (2023). Conformal Prediction: A Gentle Introduction. FnT in ML 16(4):494–591. DOI: 10.1561/2200000101 (arXiv:2107.07511).</w:t>
      </w:r>
    </w:p>
    <w:p>
      <w:pPr>
        <w:spacing w:after="80" w:line="264"/>
        <w:ind w:left="360" w:hanging="360"/>
      </w:pPr>
      <w:r>
        <w:rPr>
          <w:b/>
          <w:bCs/>
        </w:rPr>
        <w:t xml:space="preserve">9. </w:t>
      </w:r>
      <w:r>
        <w:t xml:space="preserve">Tibshirani, R. J. et al. (2019). Conformal Prediction Under Covariate Shift. NeurIPS. arXiv:1904.06019.</w:t>
      </w:r>
    </w:p>
    <w:p>
      <w:pPr>
        <w:spacing w:after="80" w:line="264"/>
        <w:ind w:left="360" w:hanging="360"/>
      </w:pPr>
      <w:r>
        <w:rPr>
          <w:b/>
          <w:bCs/>
        </w:rPr>
        <w:t xml:space="preserve">10. </w:t>
      </w:r>
      <w:r>
        <w:t xml:space="preserve">Barber, R. F. et al. (2023). Conformal Prediction Beyond Exchangeability. Annals of Statistics 51(2):816–845.</w:t>
      </w:r>
    </w:p>
    <w:p>
      <w:pPr>
        <w:spacing w:after="80" w:line="264"/>
        <w:ind w:left="360" w:hanging="360"/>
      </w:pPr>
      <w:r>
        <w:rPr>
          <w:b/>
          <w:bCs/>
        </w:rPr>
        <w:t xml:space="preserve">11. </w:t>
      </w:r>
      <w:r>
        <w:t xml:space="preserve">Altman, E. (1999). Constrained Markov Decision Processes. Chapman &amp; Hall/CRC.</w:t>
      </w:r>
    </w:p>
    <w:p>
      <w:pPr>
        <w:spacing w:after="80" w:line="264"/>
        <w:ind w:left="360" w:hanging="360"/>
      </w:pPr>
      <w:r>
        <w:rPr>
          <w:b/>
          <w:bCs/>
        </w:rPr>
        <w:t xml:space="preserve">12. </w:t>
      </w:r>
      <w:r>
        <w:t xml:space="preserve">Achiam, J. et al. (2017). Constrained Policy Optimization. ICML, PMLR 70:22–31. arXiv:1705.10528.</w:t>
      </w:r>
    </w:p>
    <w:p>
      <w:pPr>
        <w:spacing w:after="80" w:line="264"/>
        <w:ind w:left="360" w:hanging="360"/>
      </w:pPr>
      <w:r>
        <w:rPr>
          <w:b/>
          <w:bCs/>
        </w:rPr>
        <w:t xml:space="preserve">13. </w:t>
      </w:r>
      <w:r>
        <w:t xml:space="preserve">Alshiekh, M. et al. (2018). Safe Reinforcement Learning via Shielding. AAAI. arXiv:1708.08611.</w:t>
      </w:r>
    </w:p>
    <w:p>
      <w:pPr>
        <w:spacing w:after="80" w:line="264"/>
        <w:ind w:left="360" w:hanging="360"/>
      </w:pPr>
      <w:r>
        <w:rPr>
          <w:b/>
          <w:bCs/>
        </w:rPr>
        <w:t xml:space="preserve">14. </w:t>
      </w:r>
      <w:r>
        <w:t xml:space="preserve">Fakih, M. et al. (2024). LLM4PLC. ICSE-SEIP 2024. arXiv:2401.05443.</w:t>
      </w:r>
    </w:p>
    <w:p>
      <w:pPr>
        <w:spacing w:after="80" w:line="264"/>
        <w:ind w:left="360" w:hanging="360"/>
      </w:pPr>
      <w:r>
        <w:rPr>
          <w:b/>
          <w:bCs/>
        </w:rPr>
        <w:t xml:space="preserve">15. </w:t>
      </w:r>
      <w:r>
        <w:t xml:space="preserve">IEC 61508; IEC 61511; ISO 13849-1; IEC 62443 — функциональная безопасность и защита АСУ ТП.</w:t>
      </w:r>
    </w:p>
    <w:p>
      <w:pPr>
        <w:spacing w:after="80" w:line="264"/>
        <w:ind w:left="360" w:hanging="360"/>
      </w:pPr>
      <w:r>
        <w:rPr>
          <w:b/>
          <w:bCs/>
        </w:rPr>
        <w:t xml:space="preserve">16. </w:t>
      </w:r>
      <w:r>
        <w:t xml:space="preserve">Регламент (ЕС) 2024/1689 (закон ЕС об ИИ), ст. 6 и Приложение III. </w:t>
      </w:r>
      <w:hyperlink w:history="1" r:id="rIdgoczow4rehrzhfhu5612b">
        <w:r>
          <w:rPr>
            <w:rStyle w:val="Hyperlink"/>
          </w:rPr>
          <w:t xml:space="preserve">artificialintelligenceact.eu/article/6</w:t>
        </w:r>
      </w:hyperlink>
    </w:p>
    <w:p>
      <w:pPr>
        <w:spacing w:after="80" w:line="264"/>
        <w:ind w:left="360" w:hanging="360"/>
      </w:pPr>
      <w:r>
        <w:rPr>
          <w:b/>
          <w:bCs/>
        </w:rPr>
        <w:t xml:space="preserve">17. </w:t>
      </w:r>
      <w:r>
        <w:t xml:space="preserve">Valiant, L. (1984). A Theory of the Learnable. Communications of the ACM 27(11):1134–1142 (PAC-обучение).</w:t>
      </w:r>
    </w:p>
    <w:p>
      <w:pPr>
        <w:spacing w:after="80" w:line="264"/>
        <w:ind w:left="360" w:hanging="360"/>
      </w:pPr>
      <w:r>
        <w:rPr>
          <w:b/>
          <w:bCs/>
        </w:rPr>
        <w:t xml:space="preserve">18. </w:t>
      </w:r>
      <w:r>
        <w:t xml:space="preserve">Clarke, E. M., Wing, J. M. (1996). Formal Methods: State of the Art and Future Directions. ACM Computing Surveys 28(4):626–643.</w:t>
      </w:r>
    </w:p>
    <w:p>
      <w:pPr>
        <w:spacing w:after="80" w:line="264"/>
        <w:ind w:left="360" w:hanging="360"/>
      </w:pPr>
      <w:r>
        <w:rPr>
          <w:b/>
          <w:bCs/>
        </w:rPr>
        <w:t xml:space="preserve">19. </w:t>
      </w:r>
      <w:r>
        <w:t xml:space="preserve">Ji, Z. et al. (2023). Survey of Hallucination in Natural Language Generation. ACM Computing Surveys 55(12):1–38 (таксономия галлюцинаций LLM).</w:t>
      </w:r>
    </w:p>
    <w:p>
      <w:pPr>
        <w:spacing w:after="80" w:line="264"/>
        <w:ind w:left="360" w:hanging="360"/>
      </w:pPr>
      <w:r>
        <w:rPr>
          <w:b/>
          <w:bCs/>
        </w:rPr>
        <w:t xml:space="preserve">20. </w:t>
      </w:r>
      <w:r>
        <w:t xml:space="preserve">Garcez, A. d'Avila, Lamb, L. (2023). Neurosymbolic AI: The 3rd Wave. Artificial Intelligence Review 56:12387–12406.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999999"/>
        <w:sz w:val="16"/>
        <w:szCs w:val="16"/>
      </w:rPr>
      <w:t xml:space="preserve">Приложение A · Теория двухконтурной архитектуры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)"/>
      <w:lvlJc w:val="left"/>
      <w:pPr>
        <w:ind w:left="10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D5D5" w:sz="6" w:space="6"/>
      </w:pBdr>
      <w:spacing w:after="140" w:before="280"/>
      <w:outlineLvl w:val="0"/>
    </w:pPr>
    <w:rPr>
      <w:rFonts w:ascii="Arial" w:cs="Arial" w:eastAsia="Arial" w:hAnsi="Arial"/>
      <w:b/>
      <w:bCs/>
      <w:color w:val="14517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oczow4rehrzhfhu5612b" Type="http://schemas.openxmlformats.org/officeDocument/2006/relationships/hyperlink" Target="https://artificialintelligenceact.eu/article/6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2026-06-03T09:59:59.915Z</dcterms:created>
  <dcterms:modified xsi:type="dcterms:W3CDTF">2026-06-03T09:59:59.915Z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