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5B9BD5"/>
          <w:sz w:val="26"/>
        </w:rPr>
        <w:t>KINETIC NEXUS</w:t>
      </w:r>
    </w:p>
    <w:p>
      <w:pPr>
        <w:pStyle w:val="Title"/>
        <w:jc w:val="center"/>
      </w:pPr>
      <w:r>
        <w:t>T2 Telescoping Hex Tube</w:t>
        <w:br/>
        <w:t>SolidWorks Handoff</w:t>
      </w:r>
    </w:p>
    <w:p>
      <w:pPr>
        <w:jc w:val="center"/>
      </w:pPr>
      <w:r>
        <w:rPr>
          <w:i/>
          <w:sz w:val="24"/>
        </w:rPr>
        <w:t>Progress summary, parametric model logic, mistakes corrected, and restart checklist</w:t>
      </w:r>
    </w:p>
    <w:p>
      <w:r>
        <w:br/>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1F4E79"/>
          </w:tcPr>
          <w:p>
            <w:r/>
            <w:r>
              <w:rPr>
                <w:rFonts w:ascii="Aptos" w:hAnsi="Aptos"/>
                <w:b/>
                <w:color w:val="FFFFFF"/>
                <w:sz w:val="18"/>
              </w:rPr>
              <w:t>Item</w:t>
            </w:r>
          </w:p>
        </w:tc>
        <w:tc>
          <w:tcPr>
            <w:tcW w:type="dxa" w:w="6768"/>
            <w:vAlign w:val="center"/>
            <w:shd w:fill="1F4E79"/>
          </w:tcPr>
          <w:p>
            <w:r/>
            <w:r>
              <w:rPr>
                <w:rFonts w:ascii="Aptos" w:hAnsi="Aptos"/>
                <w:b/>
                <w:color w:val="FFFFFF"/>
                <w:sz w:val="18"/>
              </w:rPr>
              <w:t>Status</w:t>
            </w:r>
          </w:p>
        </w:tc>
      </w:tr>
      <w:tr>
        <w:tc>
          <w:tcPr>
            <w:tcW w:type="dxa" w:w="2880"/>
            <w:vAlign w:val="center"/>
          </w:tcPr>
          <w:p>
            <w:r/>
            <w:r>
              <w:rPr>
                <w:rFonts w:ascii="Aptos" w:hAnsi="Aptos"/>
                <w:b w:val="0"/>
                <w:sz w:val="17"/>
              </w:rPr>
              <w:t>Part/configuration</w:t>
            </w:r>
          </w:p>
        </w:tc>
        <w:tc>
          <w:tcPr>
            <w:tcW w:type="dxa" w:w="6768"/>
            <w:vAlign w:val="center"/>
          </w:tcPr>
          <w:p>
            <w:r/>
            <w:r>
              <w:rPr>
                <w:rFonts w:ascii="Aptos" w:hAnsi="Aptos"/>
                <w:b w:val="0"/>
                <w:sz w:val="17"/>
              </w:rPr>
              <w:t>T2 telescoping hex tube</w:t>
            </w:r>
          </w:p>
        </w:tc>
      </w:tr>
      <w:tr>
        <w:tc>
          <w:tcPr>
            <w:tcW w:type="dxa" w:w="2880"/>
            <w:vAlign w:val="center"/>
          </w:tcPr>
          <w:p>
            <w:r/>
            <w:r>
              <w:rPr>
                <w:rFonts w:ascii="Aptos" w:hAnsi="Aptos"/>
                <w:b w:val="0"/>
                <w:sz w:val="17"/>
              </w:rPr>
              <w:t>CAD platform</w:t>
            </w:r>
          </w:p>
        </w:tc>
        <w:tc>
          <w:tcPr>
            <w:tcW w:type="dxa" w:w="6768"/>
            <w:vAlign w:val="center"/>
          </w:tcPr>
          <w:p>
            <w:r/>
            <w:r>
              <w:rPr>
                <w:rFonts w:ascii="Aptos" w:hAnsi="Aptos"/>
                <w:b w:val="0"/>
                <w:sz w:val="17"/>
              </w:rPr>
              <w:t>SolidWorks Student Edition</w:t>
            </w:r>
          </w:p>
        </w:tc>
      </w:tr>
      <w:tr>
        <w:tc>
          <w:tcPr>
            <w:tcW w:type="dxa" w:w="2880"/>
            <w:vAlign w:val="center"/>
          </w:tcPr>
          <w:p>
            <w:r/>
            <w:r>
              <w:rPr>
                <w:rFonts w:ascii="Aptos" w:hAnsi="Aptos"/>
                <w:b w:val="0"/>
                <w:sz w:val="17"/>
              </w:rPr>
              <w:t>Primary specification</w:t>
            </w:r>
          </w:p>
        </w:tc>
        <w:tc>
          <w:tcPr>
            <w:tcW w:type="dxa" w:w="6768"/>
            <w:vAlign w:val="center"/>
          </w:tcPr>
          <w:p>
            <w:r/>
            <w:r>
              <w:rPr>
                <w:rFonts w:ascii="Aptos" w:hAnsi="Aptos"/>
                <w:b w:val="0"/>
                <w:sz w:val="17"/>
              </w:rPr>
              <w:t>Kinetic-Nexus Build Specification PDF only</w:t>
            </w:r>
          </w:p>
        </w:tc>
      </w:tr>
      <w:tr>
        <w:tc>
          <w:tcPr>
            <w:tcW w:type="dxa" w:w="2880"/>
            <w:vAlign w:val="center"/>
          </w:tcPr>
          <w:p>
            <w:r/>
            <w:r>
              <w:rPr>
                <w:rFonts w:ascii="Aptos" w:hAnsi="Aptos"/>
                <w:b w:val="0"/>
                <w:sz w:val="17"/>
              </w:rPr>
              <w:t>Model state at handoff</w:t>
            </w:r>
          </w:p>
        </w:tc>
        <w:tc>
          <w:tcPr>
            <w:tcW w:type="dxa" w:w="6768"/>
            <w:vAlign w:val="center"/>
          </w:tcPr>
          <w:p>
            <w:r/>
            <w:r>
              <w:rPr>
                <w:rFonts w:ascii="Aptos" w:hAnsi="Aptos"/>
                <w:b w:val="0"/>
                <w:sz w:val="17"/>
              </w:rPr>
              <w:t>Main tube, reliefs, chamfers, band fillets, master ribs and circular rib pattern created</w:t>
            </w:r>
          </w:p>
        </w:tc>
      </w:tr>
      <w:tr>
        <w:tc>
          <w:tcPr>
            <w:tcW w:type="dxa" w:w="2880"/>
            <w:vAlign w:val="center"/>
          </w:tcPr>
          <w:p>
            <w:r/>
            <w:r>
              <w:rPr>
                <w:rFonts w:ascii="Aptos" w:hAnsi="Aptos"/>
                <w:b w:val="0"/>
                <w:sz w:val="17"/>
              </w:rPr>
              <w:t>Prepared</w:t>
            </w:r>
          </w:p>
        </w:tc>
        <w:tc>
          <w:tcPr>
            <w:tcW w:type="dxa" w:w="6768"/>
            <w:vAlign w:val="center"/>
          </w:tcPr>
          <w:p>
            <w:r/>
            <w:r>
              <w:rPr>
                <w:rFonts w:ascii="Aptos" w:hAnsi="Aptos"/>
                <w:b w:val="0"/>
                <w:sz w:val="17"/>
              </w:rPr>
              <w:t>16 October 2026</w:t>
            </w:r>
          </w:p>
        </w:tc>
      </w:tr>
    </w:tbl>
    <w:p>
      <w:pPr>
        <w:spacing w:after="0"/>
      </w:pPr>
    </w:p>
    <w:tbl>
      <w:tblPr>
        <w:tblW w:type="auto" w:w="0"/>
        <w:jc w:val="center"/>
        <w:tblLook w:firstColumn="1" w:firstRow="1" w:lastColumn="0" w:lastRow="0" w:noHBand="0" w:noVBand="1" w:val="04A0"/>
      </w:tblPr>
      <w:tblGrid>
        <w:gridCol w:w="10166"/>
      </w:tblGrid>
      <w:tr>
        <w:tc>
          <w:tcPr>
            <w:tcW w:type="dxa" w:w="10166"/>
            <w:shd w:fill="FFF2CC"/>
          </w:tcPr>
          <w:p>
            <w:r>
              <w:rPr>
                <w:b/>
                <w:color w:val="1F4E79"/>
              </w:rPr>
              <w:t xml:space="preserve">Important source rule  </w:t>
            </w:r>
            <w:r>
              <w:t>Reference pictures are for visual guidance only. All dimensions must come from the Kinetic-Nexus PDF or established global variables. Never scale dimensions from pictures.</w:t>
            </w:r>
          </w:p>
        </w:tc>
      </w:tr>
    </w:tbl>
    <w:p>
      <w:pPr>
        <w:spacing w:after="0"/>
      </w:pPr>
    </w:p>
    <w:p>
      <w:pPr>
        <w:pStyle w:val="Heading1"/>
      </w:pPr>
      <w:r>
        <w:t>1. Executive Summary</w:t>
      </w:r>
    </w:p>
    <w:p>
      <w:r>
        <w:t>The T2 tube was rebuilt as a parametric hollow hexagonal tube. The session focused on correcting the relationship between the guide band, lower relieved section, stop band, and upper relieved body. The final modeling logic uses named global variables and configuration-driven values rather than isolated fixed numbers.</w:t>
      </w:r>
    </w:p>
    <w:p>
      <w:pPr>
        <w:pStyle w:val="ListBullet"/>
        <w:spacing w:after="40"/>
      </w:pPr>
      <w:r>
        <w:t>Confirmed cross-section values: full-size outer AF 27.55 mm, bore AF 23.55 mm, relieved outer AF 26.35 mm, full wall 2.00 mm, relieved wall 1.40 mm.</w:t>
      </w:r>
    </w:p>
    <w:p>
      <w:pPr>
        <w:pStyle w:val="ListBullet"/>
        <w:spacing w:after="40"/>
      </w:pPr>
      <w:r>
        <w:t>Confirmed axial logic: guide band 0–6 mm, lower relief 6–27 mm, stop band 27–33 mm, upper relief 33–165 mm.</w:t>
      </w:r>
    </w:p>
    <w:p>
      <w:pPr>
        <w:pStyle w:val="ListBullet"/>
        <w:spacing w:after="40"/>
      </w:pPr>
      <w:r>
        <w:t>Tube-mouth chamfer uses the six inside bore edges; the bottom-end chamfer uses the six outside perimeter edges.</w:t>
      </w:r>
    </w:p>
    <w:p>
      <w:pPr>
        <w:pStyle w:val="ListBullet"/>
        <w:spacing w:after="40"/>
      </w:pPr>
      <w:r>
        <w:t>Guide-band ribs were modeled as two 0.50 mm-wide rectangles, boss-extruded 0.15 mm outward, then circular-patterned around six faces using the longitudinal tube axis.</w:t>
      </w:r>
    </w:p>
    <w:p>
      <w:pPr>
        <w:pStyle w:val="ListBullet"/>
        <w:spacing w:after="40"/>
      </w:pPr>
      <w:r>
        <w:t>The circular-pattern preview showed two ribs per face, six instances, 360° equal spacing, for 12 ribs total.</w:t>
      </w:r>
    </w:p>
    <w:tbl>
      <w:tblPr>
        <w:tblW w:type="auto" w:w="0"/>
        <w:jc w:val="center"/>
        <w:tblLook w:firstColumn="1" w:firstRow="1" w:lastColumn="0" w:lastRow="0" w:noHBand="0" w:noVBand="1" w:val="04A0"/>
      </w:tblPr>
      <w:tblGrid>
        <w:gridCol w:w="10166"/>
      </w:tblGrid>
      <w:tr>
        <w:tc>
          <w:tcPr>
            <w:tcW w:type="dxa" w:w="10166"/>
            <w:shd w:fill="E2F0D9"/>
          </w:tcPr>
          <w:p>
            <w:r>
              <w:rPr>
                <w:b/>
                <w:color w:val="1F4E79"/>
              </w:rPr>
              <w:t xml:space="preserve">Current confidence  </w:t>
            </w:r>
            <w:r>
              <w:t>The core dimensional logic is strong. Before manufacturing/export, perform the final rebuild and checklist in Section 9, especially verifying the accepted rib pattern, one solid body, and no warnings.</w:t>
            </w:r>
          </w:p>
        </w:tc>
      </w:tr>
    </w:tbl>
    <w:p>
      <w:pPr>
        <w:spacing w:after="0"/>
      </w:pPr>
    </w:p>
    <w:p>
      <w:pPr>
        <w:pStyle w:val="Heading1"/>
      </w:pPr>
      <w:r>
        <w:t>2. Estimated Time Spent</w:t>
      </w:r>
    </w:p>
    <w:p>
      <w:r>
        <w:t>Based on the screenshot timestamps, the focused troubleshooting/modeling session ran from approximately 19:09 to 21:33 on 16 October 2026, or about 2 hours 24 minutes. Allowing for actions between screenshots, a fair practical estimate is:</w:t>
      </w:r>
    </w:p>
    <w:tbl>
      <w:tblPr>
        <w:tblStyle w:val="TableGrid"/>
        <w:tblW w:type="auto" w:w="0"/>
        <w:jc w:val="center"/>
        <w:tblLook w:firstColumn="1" w:firstRow="1" w:lastColumn="0" w:lastRow="0" w:noHBand="0" w:noVBand="1" w:val="04A0"/>
      </w:tblPr>
      <w:tblGrid>
        <w:gridCol w:w="5083"/>
        <w:gridCol w:w="5083"/>
      </w:tblGrid>
      <w:tr>
        <w:tc>
          <w:tcPr>
            <w:tcW w:type="dxa" w:w="6912"/>
            <w:vAlign w:val="center"/>
            <w:shd w:fill="1F4E79"/>
          </w:tcPr>
          <w:p>
            <w:r/>
            <w:r>
              <w:rPr>
                <w:rFonts w:ascii="Aptos" w:hAnsi="Aptos"/>
                <w:b/>
                <w:color w:val="FFFFFF"/>
                <w:sz w:val="18"/>
              </w:rPr>
              <w:t>Estimate</w:t>
            </w:r>
          </w:p>
        </w:tc>
        <w:tc>
          <w:tcPr>
            <w:tcW w:type="dxa" w:w="2592"/>
            <w:vAlign w:val="center"/>
            <w:shd w:fill="1F4E79"/>
          </w:tcPr>
          <w:p>
            <w:r/>
            <w:r>
              <w:rPr>
                <w:rFonts w:ascii="Aptos" w:hAnsi="Aptos"/>
                <w:b/>
                <w:color w:val="FFFFFF"/>
                <w:sz w:val="18"/>
              </w:rPr>
              <w:t>Time</w:t>
            </w:r>
          </w:p>
        </w:tc>
      </w:tr>
      <w:tr>
        <w:tc>
          <w:tcPr>
            <w:tcW w:type="dxa" w:w="6912"/>
            <w:vAlign w:val="center"/>
          </w:tcPr>
          <w:p>
            <w:r/>
            <w:r>
              <w:rPr>
                <w:rFonts w:ascii="Aptos" w:hAnsi="Aptos"/>
                <w:b w:val="0"/>
                <w:sz w:val="17"/>
              </w:rPr>
              <w:t>Direct visible session</w:t>
            </w:r>
          </w:p>
        </w:tc>
        <w:tc>
          <w:tcPr>
            <w:tcW w:type="dxa" w:w="2592"/>
            <w:vAlign w:val="center"/>
          </w:tcPr>
          <w:p>
            <w:r/>
            <w:r>
              <w:rPr>
                <w:rFonts w:ascii="Aptos" w:hAnsi="Aptos"/>
                <w:b w:val="0"/>
                <w:sz w:val="17"/>
              </w:rPr>
              <w:t>~2 h 24 min</w:t>
            </w:r>
          </w:p>
        </w:tc>
      </w:tr>
      <w:tr>
        <w:tc>
          <w:tcPr>
            <w:tcW w:type="dxa" w:w="6912"/>
            <w:vAlign w:val="center"/>
          </w:tcPr>
          <w:p>
            <w:r/>
            <w:r>
              <w:rPr>
                <w:rFonts w:ascii="Aptos" w:hAnsi="Aptos"/>
                <w:b w:val="0"/>
                <w:sz w:val="17"/>
              </w:rPr>
              <w:t>Likely active CAD time including unrecorded clicks/rebuilds</w:t>
            </w:r>
          </w:p>
        </w:tc>
        <w:tc>
          <w:tcPr>
            <w:tcW w:type="dxa" w:w="2592"/>
            <w:vAlign w:val="center"/>
          </w:tcPr>
          <w:p>
            <w:r/>
            <w:r>
              <w:rPr>
                <w:rFonts w:ascii="Aptos" w:hAnsi="Aptos"/>
                <w:b w:val="0"/>
                <w:sz w:val="17"/>
              </w:rPr>
              <w:t>~2.5–3.0 h</w:t>
            </w:r>
          </w:p>
        </w:tc>
      </w:tr>
      <w:tr>
        <w:tc>
          <w:tcPr>
            <w:tcW w:type="dxa" w:w="6912"/>
            <w:vAlign w:val="center"/>
          </w:tcPr>
          <w:p>
            <w:r/>
            <w:r>
              <w:rPr>
                <w:rFonts w:ascii="Aptos" w:hAnsi="Aptos"/>
                <w:b w:val="0"/>
                <w:sz w:val="17"/>
              </w:rPr>
              <w:t>Recommended reported time</w:t>
            </w:r>
          </w:p>
        </w:tc>
        <w:tc>
          <w:tcPr>
            <w:tcW w:type="dxa" w:w="2592"/>
            <w:vAlign w:val="center"/>
          </w:tcPr>
          <w:p>
            <w:r/>
            <w:r>
              <w:rPr>
                <w:rFonts w:ascii="Aptos" w:hAnsi="Aptos"/>
                <w:b w:val="0"/>
                <w:sz w:val="17"/>
              </w:rPr>
              <w:t>About 2 h 30 min</w:t>
            </w:r>
          </w:p>
        </w:tc>
      </w:tr>
    </w:tbl>
    <w:p>
      <w:pPr>
        <w:spacing w:after="0"/>
      </w:pPr>
    </w:p>
    <w:p>
      <w:r>
        <w:t>This estimate covers the evening session represented by the screenshots, not earlier work on the original tube, design table, or global-variable setup.</w:t>
      </w:r>
    </w:p>
    <w:p>
      <w:pPr>
        <w:pStyle w:val="Heading1"/>
      </w:pPr>
      <w:r>
        <w:t>3. Confirmed T2 Dimensions and Relationships</w:t>
      </w:r>
    </w:p>
    <w:tbl>
      <w:tblPr>
        <w:tblStyle w:val="TableGrid"/>
        <w:tblW w:type="auto" w:w="0"/>
        <w:jc w:val="center"/>
        <w:tblLook w:firstColumn="1" w:firstRow="1" w:lastColumn="0" w:lastRow="0" w:noHBand="0" w:noVBand="1" w:val="04A0"/>
      </w:tblPr>
      <w:tblGrid>
        <w:gridCol w:w="3389"/>
        <w:gridCol w:w="3389"/>
        <w:gridCol w:w="3389"/>
      </w:tblGrid>
      <w:tr>
        <w:tc>
          <w:tcPr>
            <w:tcW w:type="dxa" w:w="3096"/>
            <w:vAlign w:val="center"/>
            <w:shd w:fill="1F4E79"/>
          </w:tcPr>
          <w:p>
            <w:r/>
            <w:r>
              <w:rPr>
                <w:rFonts w:ascii="Aptos" w:hAnsi="Aptos"/>
                <w:b/>
                <w:color w:val="FFFFFF"/>
                <w:sz w:val="18"/>
              </w:rPr>
              <w:t>Parameter</w:t>
            </w:r>
          </w:p>
        </w:tc>
        <w:tc>
          <w:tcPr>
            <w:tcW w:type="dxa" w:w="1656"/>
            <w:vAlign w:val="center"/>
            <w:shd w:fill="1F4E79"/>
          </w:tcPr>
          <w:p>
            <w:r/>
            <w:r>
              <w:rPr>
                <w:rFonts w:ascii="Aptos" w:hAnsi="Aptos"/>
                <w:b/>
                <w:color w:val="FFFFFF"/>
                <w:sz w:val="18"/>
              </w:rPr>
              <w:t>Value</w:t>
            </w:r>
          </w:p>
        </w:tc>
        <w:tc>
          <w:tcPr>
            <w:tcW w:type="dxa" w:w="5112"/>
            <w:vAlign w:val="center"/>
            <w:shd w:fill="1F4E79"/>
          </w:tcPr>
          <w:p>
            <w:r/>
            <w:r>
              <w:rPr>
                <w:rFonts w:ascii="Aptos" w:hAnsi="Aptos"/>
                <w:b/>
                <w:color w:val="FFFFFF"/>
                <w:sz w:val="18"/>
              </w:rPr>
              <w:t>How it is controlled / checked</w:t>
            </w:r>
          </w:p>
        </w:tc>
      </w:tr>
      <w:tr>
        <w:tc>
          <w:tcPr>
            <w:tcW w:type="dxa" w:w="3096"/>
            <w:vAlign w:val="center"/>
          </w:tcPr>
          <w:p>
            <w:r/>
            <w:r>
              <w:rPr>
                <w:rFonts w:ascii="Aptos" w:hAnsi="Aptos"/>
                <w:b w:val="0"/>
                <w:sz w:val="17"/>
              </w:rPr>
              <w:t>Full-size outer AF</w:t>
            </w:r>
          </w:p>
        </w:tc>
        <w:tc>
          <w:tcPr>
            <w:tcW w:type="dxa" w:w="1656"/>
            <w:vAlign w:val="center"/>
          </w:tcPr>
          <w:p>
            <w:r/>
            <w:r>
              <w:rPr>
                <w:rFonts w:ascii="Aptos" w:hAnsi="Aptos"/>
                <w:b w:val="0"/>
                <w:sz w:val="17"/>
              </w:rPr>
              <w:t>27.55 mm</w:t>
            </w:r>
          </w:p>
        </w:tc>
        <w:tc>
          <w:tcPr>
            <w:tcW w:type="dxa" w:w="5112"/>
            <w:vAlign w:val="center"/>
          </w:tcPr>
          <w:p>
            <w:r/>
            <w:r>
              <w:rPr>
                <w:rFonts w:ascii="Aptos" w:hAnsi="Aptos"/>
                <w:b w:val="0"/>
                <w:sz w:val="17"/>
              </w:rPr>
              <w:t>Global variable AF; opposite outer flats</w:t>
            </w:r>
          </w:p>
        </w:tc>
      </w:tr>
      <w:tr>
        <w:tc>
          <w:tcPr>
            <w:tcW w:type="dxa" w:w="3096"/>
            <w:vAlign w:val="center"/>
          </w:tcPr>
          <w:p>
            <w:r/>
            <w:r>
              <w:rPr>
                <w:rFonts w:ascii="Aptos" w:hAnsi="Aptos"/>
                <w:b w:val="0"/>
                <w:sz w:val="17"/>
              </w:rPr>
              <w:t>Bore AF</w:t>
            </w:r>
          </w:p>
        </w:tc>
        <w:tc>
          <w:tcPr>
            <w:tcW w:type="dxa" w:w="1656"/>
            <w:vAlign w:val="center"/>
          </w:tcPr>
          <w:p>
            <w:r/>
            <w:r>
              <w:rPr>
                <w:rFonts w:ascii="Aptos" w:hAnsi="Aptos"/>
                <w:b w:val="0"/>
                <w:sz w:val="17"/>
              </w:rPr>
              <w:t>23.55 mm</w:t>
            </w:r>
          </w:p>
        </w:tc>
        <w:tc>
          <w:tcPr>
            <w:tcW w:type="dxa" w:w="5112"/>
            <w:vAlign w:val="center"/>
          </w:tcPr>
          <w:p>
            <w:r/>
            <w:r>
              <w:rPr>
                <w:rFonts w:ascii="Aptos" w:hAnsi="Aptos"/>
                <w:b w:val="0"/>
                <w:sz w:val="17"/>
              </w:rPr>
              <w:t>AF − 2 × wall</w:t>
            </w:r>
          </w:p>
        </w:tc>
      </w:tr>
      <w:tr>
        <w:tc>
          <w:tcPr>
            <w:tcW w:type="dxa" w:w="3096"/>
            <w:vAlign w:val="center"/>
          </w:tcPr>
          <w:p>
            <w:r/>
            <w:r>
              <w:rPr>
                <w:rFonts w:ascii="Aptos" w:hAnsi="Aptos"/>
                <w:b w:val="0"/>
                <w:sz w:val="17"/>
              </w:rPr>
              <w:t>Wall thickness at full-size bands</w:t>
            </w:r>
          </w:p>
        </w:tc>
        <w:tc>
          <w:tcPr>
            <w:tcW w:type="dxa" w:w="1656"/>
            <w:vAlign w:val="center"/>
          </w:tcPr>
          <w:p>
            <w:r/>
            <w:r>
              <w:rPr>
                <w:rFonts w:ascii="Aptos" w:hAnsi="Aptos"/>
                <w:b w:val="0"/>
                <w:sz w:val="17"/>
              </w:rPr>
              <w:t>2.00 mm</w:t>
            </w:r>
          </w:p>
        </w:tc>
        <w:tc>
          <w:tcPr>
            <w:tcW w:type="dxa" w:w="5112"/>
            <w:vAlign w:val="center"/>
          </w:tcPr>
          <w:p>
            <w:r/>
            <w:r>
              <w:rPr>
                <w:rFonts w:ascii="Aptos" w:hAnsi="Aptos"/>
                <w:b w:val="0"/>
                <w:sz w:val="17"/>
              </w:rPr>
              <w:t>Global variable wall</w:t>
            </w:r>
          </w:p>
        </w:tc>
      </w:tr>
      <w:tr>
        <w:tc>
          <w:tcPr>
            <w:tcW w:type="dxa" w:w="3096"/>
            <w:vAlign w:val="center"/>
          </w:tcPr>
          <w:p>
            <w:r/>
            <w:r>
              <w:rPr>
                <w:rFonts w:ascii="Aptos" w:hAnsi="Aptos"/>
                <w:b w:val="0"/>
                <w:sz w:val="17"/>
              </w:rPr>
              <w:t>Relieved outer AF</w:t>
            </w:r>
          </w:p>
        </w:tc>
        <w:tc>
          <w:tcPr>
            <w:tcW w:type="dxa" w:w="1656"/>
            <w:vAlign w:val="center"/>
          </w:tcPr>
          <w:p>
            <w:r/>
            <w:r>
              <w:rPr>
                <w:rFonts w:ascii="Aptos" w:hAnsi="Aptos"/>
                <w:b w:val="0"/>
                <w:sz w:val="17"/>
              </w:rPr>
              <w:t>26.35 mm</w:t>
            </w:r>
          </w:p>
        </w:tc>
        <w:tc>
          <w:tcPr>
            <w:tcW w:type="dxa" w:w="5112"/>
            <w:vAlign w:val="center"/>
          </w:tcPr>
          <w:p>
            <w:r/>
            <w:r>
              <w:rPr>
                <w:rFonts w:ascii="Aptos" w:hAnsi="Aptos"/>
                <w:b w:val="0"/>
                <w:sz w:val="17"/>
              </w:rPr>
              <w:t>AF − 2 × relief</w:t>
            </w:r>
          </w:p>
        </w:tc>
      </w:tr>
      <w:tr>
        <w:tc>
          <w:tcPr>
            <w:tcW w:type="dxa" w:w="3096"/>
            <w:vAlign w:val="center"/>
          </w:tcPr>
          <w:p>
            <w:r/>
            <w:r>
              <w:rPr>
                <w:rFonts w:ascii="Aptos" w:hAnsi="Aptos"/>
                <w:b w:val="0"/>
                <w:sz w:val="17"/>
              </w:rPr>
              <w:t>Relief per outer face</w:t>
            </w:r>
          </w:p>
        </w:tc>
        <w:tc>
          <w:tcPr>
            <w:tcW w:type="dxa" w:w="1656"/>
            <w:vAlign w:val="center"/>
          </w:tcPr>
          <w:p>
            <w:r/>
            <w:r>
              <w:rPr>
                <w:rFonts w:ascii="Aptos" w:hAnsi="Aptos"/>
                <w:b w:val="0"/>
                <w:sz w:val="17"/>
              </w:rPr>
              <w:t>0.60 mm</w:t>
            </w:r>
          </w:p>
        </w:tc>
        <w:tc>
          <w:tcPr>
            <w:tcW w:type="dxa" w:w="5112"/>
            <w:vAlign w:val="center"/>
          </w:tcPr>
          <w:p>
            <w:r/>
            <w:r>
              <w:rPr>
                <w:rFonts w:ascii="Aptos" w:hAnsi="Aptos"/>
                <w:b w:val="0"/>
                <w:sz w:val="17"/>
              </w:rPr>
              <w:t>Global variable relief</w:t>
            </w:r>
          </w:p>
        </w:tc>
      </w:tr>
      <w:tr>
        <w:tc>
          <w:tcPr>
            <w:tcW w:type="dxa" w:w="3096"/>
            <w:vAlign w:val="center"/>
          </w:tcPr>
          <w:p>
            <w:r/>
            <w:r>
              <w:rPr>
                <w:rFonts w:ascii="Aptos" w:hAnsi="Aptos"/>
                <w:b w:val="0"/>
                <w:sz w:val="17"/>
              </w:rPr>
              <w:t>Relieved wall thickness</w:t>
            </w:r>
          </w:p>
        </w:tc>
        <w:tc>
          <w:tcPr>
            <w:tcW w:type="dxa" w:w="1656"/>
            <w:vAlign w:val="center"/>
          </w:tcPr>
          <w:p>
            <w:r/>
            <w:r>
              <w:rPr>
                <w:rFonts w:ascii="Aptos" w:hAnsi="Aptos"/>
                <w:b w:val="0"/>
                <w:sz w:val="17"/>
              </w:rPr>
              <w:t>1.40 mm</w:t>
            </w:r>
          </w:p>
        </w:tc>
        <w:tc>
          <w:tcPr>
            <w:tcW w:type="dxa" w:w="5112"/>
            <w:vAlign w:val="center"/>
          </w:tcPr>
          <w:p>
            <w:r/>
            <w:r>
              <w:rPr>
                <w:rFonts w:ascii="Aptos" w:hAnsi="Aptos"/>
                <w:b w:val="0"/>
                <w:sz w:val="17"/>
              </w:rPr>
              <w:t>(26.35 − 23.55) / 2</w:t>
            </w:r>
          </w:p>
        </w:tc>
      </w:tr>
      <w:tr>
        <w:tc>
          <w:tcPr>
            <w:tcW w:type="dxa" w:w="3096"/>
            <w:vAlign w:val="center"/>
          </w:tcPr>
          <w:p>
            <w:r/>
            <w:r>
              <w:rPr>
                <w:rFonts w:ascii="Aptos" w:hAnsi="Aptos"/>
                <w:b w:val="0"/>
                <w:sz w:val="17"/>
              </w:rPr>
              <w:t>Overall tube length</w:t>
            </w:r>
          </w:p>
        </w:tc>
        <w:tc>
          <w:tcPr>
            <w:tcW w:type="dxa" w:w="1656"/>
            <w:vAlign w:val="center"/>
          </w:tcPr>
          <w:p>
            <w:r/>
            <w:r>
              <w:rPr>
                <w:rFonts w:ascii="Aptos" w:hAnsi="Aptos"/>
                <w:b w:val="0"/>
                <w:sz w:val="17"/>
              </w:rPr>
              <w:t>165.00 mm</w:t>
            </w:r>
          </w:p>
        </w:tc>
        <w:tc>
          <w:tcPr>
            <w:tcW w:type="dxa" w:w="5112"/>
            <w:vAlign w:val="center"/>
          </w:tcPr>
          <w:p>
            <w:r/>
            <w:r>
              <w:rPr>
                <w:rFonts w:ascii="Aptos" w:hAnsi="Aptos"/>
                <w:b w:val="0"/>
                <w:sz w:val="17"/>
              </w:rPr>
              <w:t>Global variable L</w:t>
            </w:r>
          </w:p>
        </w:tc>
      </w:tr>
      <w:tr>
        <w:tc>
          <w:tcPr>
            <w:tcW w:type="dxa" w:w="3096"/>
            <w:vAlign w:val="center"/>
          </w:tcPr>
          <w:p>
            <w:r/>
            <w:r>
              <w:rPr>
                <w:rFonts w:ascii="Aptos" w:hAnsi="Aptos"/>
                <w:b w:val="0"/>
                <w:sz w:val="17"/>
              </w:rPr>
              <w:t>Guide-band length</w:t>
            </w:r>
          </w:p>
        </w:tc>
        <w:tc>
          <w:tcPr>
            <w:tcW w:type="dxa" w:w="1656"/>
            <w:vAlign w:val="center"/>
          </w:tcPr>
          <w:p>
            <w:r/>
            <w:r>
              <w:rPr>
                <w:rFonts w:ascii="Aptos" w:hAnsi="Aptos"/>
                <w:b w:val="0"/>
                <w:sz w:val="17"/>
              </w:rPr>
              <w:t>6.00 mm</w:t>
            </w:r>
          </w:p>
        </w:tc>
        <w:tc>
          <w:tcPr>
            <w:tcW w:type="dxa" w:w="5112"/>
            <w:vAlign w:val="center"/>
          </w:tcPr>
          <w:p>
            <w:r/>
            <w:r>
              <w:rPr>
                <w:rFonts w:ascii="Aptos" w:hAnsi="Aptos"/>
                <w:b w:val="0"/>
                <w:sz w:val="17"/>
              </w:rPr>
              <w:t>tail_h</w:t>
            </w:r>
          </w:p>
        </w:tc>
      </w:tr>
      <w:tr>
        <w:tc>
          <w:tcPr>
            <w:tcW w:type="dxa" w:w="3096"/>
            <w:vAlign w:val="center"/>
          </w:tcPr>
          <w:p>
            <w:r/>
            <w:r>
              <w:rPr>
                <w:rFonts w:ascii="Aptos" w:hAnsi="Aptos"/>
                <w:b w:val="0"/>
                <w:sz w:val="17"/>
              </w:rPr>
              <w:t>Lower-relief length</w:t>
            </w:r>
          </w:p>
        </w:tc>
        <w:tc>
          <w:tcPr>
            <w:tcW w:type="dxa" w:w="1656"/>
            <w:vAlign w:val="center"/>
          </w:tcPr>
          <w:p>
            <w:r/>
            <w:r>
              <w:rPr>
                <w:rFonts w:ascii="Aptos" w:hAnsi="Aptos"/>
                <w:b w:val="0"/>
                <w:sz w:val="17"/>
              </w:rPr>
              <w:t>21.00 mm</w:t>
            </w:r>
          </w:p>
        </w:tc>
        <w:tc>
          <w:tcPr>
            <w:tcW w:type="dxa" w:w="5112"/>
            <w:vAlign w:val="center"/>
          </w:tcPr>
          <w:p>
            <w:r/>
            <w:r>
              <w:rPr>
                <w:rFonts w:ascii="Aptos" w:hAnsi="Aptos"/>
                <w:b w:val="0"/>
                <w:sz w:val="17"/>
              </w:rPr>
              <w:t>stop_top − stop_h − tail_h</w:t>
            </w:r>
          </w:p>
        </w:tc>
      </w:tr>
      <w:tr>
        <w:tc>
          <w:tcPr>
            <w:tcW w:type="dxa" w:w="3096"/>
            <w:vAlign w:val="center"/>
          </w:tcPr>
          <w:p>
            <w:r/>
            <w:r>
              <w:rPr>
                <w:rFonts w:ascii="Aptos" w:hAnsi="Aptos"/>
                <w:b w:val="0"/>
                <w:sz w:val="17"/>
              </w:rPr>
              <w:t>Stop-band bottom position</w:t>
            </w:r>
          </w:p>
        </w:tc>
        <w:tc>
          <w:tcPr>
            <w:tcW w:type="dxa" w:w="1656"/>
            <w:vAlign w:val="center"/>
          </w:tcPr>
          <w:p>
            <w:r/>
            <w:r>
              <w:rPr>
                <w:rFonts w:ascii="Aptos" w:hAnsi="Aptos"/>
                <w:b w:val="0"/>
                <w:sz w:val="17"/>
              </w:rPr>
              <w:t>27.00 mm</w:t>
            </w:r>
          </w:p>
        </w:tc>
        <w:tc>
          <w:tcPr>
            <w:tcW w:type="dxa" w:w="5112"/>
            <w:vAlign w:val="center"/>
          </w:tcPr>
          <w:p>
            <w:r/>
            <w:r>
              <w:rPr>
                <w:rFonts w:ascii="Aptos" w:hAnsi="Aptos"/>
                <w:b w:val="0"/>
                <w:sz w:val="17"/>
              </w:rPr>
              <w:t>6 + 21</w:t>
            </w:r>
          </w:p>
        </w:tc>
      </w:tr>
      <w:tr>
        <w:tc>
          <w:tcPr>
            <w:tcW w:type="dxa" w:w="3096"/>
            <w:vAlign w:val="center"/>
          </w:tcPr>
          <w:p>
            <w:r/>
            <w:r>
              <w:rPr>
                <w:rFonts w:ascii="Aptos" w:hAnsi="Aptos"/>
                <w:b w:val="0"/>
                <w:sz w:val="17"/>
              </w:rPr>
              <w:t>Stop-band top position</w:t>
            </w:r>
          </w:p>
        </w:tc>
        <w:tc>
          <w:tcPr>
            <w:tcW w:type="dxa" w:w="1656"/>
            <w:vAlign w:val="center"/>
          </w:tcPr>
          <w:p>
            <w:r/>
            <w:r>
              <w:rPr>
                <w:rFonts w:ascii="Aptos" w:hAnsi="Aptos"/>
                <w:b w:val="0"/>
                <w:sz w:val="17"/>
              </w:rPr>
              <w:t>33.00 mm</w:t>
            </w:r>
          </w:p>
        </w:tc>
        <w:tc>
          <w:tcPr>
            <w:tcW w:type="dxa" w:w="5112"/>
            <w:vAlign w:val="center"/>
          </w:tcPr>
          <w:p>
            <w:r/>
            <w:r>
              <w:rPr>
                <w:rFonts w:ascii="Aptos" w:hAnsi="Aptos"/>
                <w:b w:val="0"/>
                <w:sz w:val="17"/>
              </w:rPr>
              <w:t>stop_top</w:t>
            </w:r>
          </w:p>
        </w:tc>
      </w:tr>
      <w:tr>
        <w:tc>
          <w:tcPr>
            <w:tcW w:type="dxa" w:w="3096"/>
            <w:vAlign w:val="center"/>
          </w:tcPr>
          <w:p>
            <w:r/>
            <w:r>
              <w:rPr>
                <w:rFonts w:ascii="Aptos" w:hAnsi="Aptos"/>
                <w:b w:val="0"/>
                <w:sz w:val="17"/>
              </w:rPr>
              <w:t>Stop-band axial length</w:t>
            </w:r>
          </w:p>
        </w:tc>
        <w:tc>
          <w:tcPr>
            <w:tcW w:type="dxa" w:w="1656"/>
            <w:vAlign w:val="center"/>
          </w:tcPr>
          <w:p>
            <w:r/>
            <w:r>
              <w:rPr>
                <w:rFonts w:ascii="Aptos" w:hAnsi="Aptos"/>
                <w:b w:val="0"/>
                <w:sz w:val="17"/>
              </w:rPr>
              <w:t>6.00 mm</w:t>
            </w:r>
          </w:p>
        </w:tc>
        <w:tc>
          <w:tcPr>
            <w:tcW w:type="dxa" w:w="5112"/>
            <w:vAlign w:val="center"/>
          </w:tcPr>
          <w:p>
            <w:r/>
            <w:r>
              <w:rPr>
                <w:rFonts w:ascii="Aptos" w:hAnsi="Aptos"/>
                <w:b w:val="0"/>
                <w:sz w:val="17"/>
              </w:rPr>
              <w:t>33 − 27</w:t>
            </w:r>
          </w:p>
        </w:tc>
      </w:tr>
      <w:tr>
        <w:tc>
          <w:tcPr>
            <w:tcW w:type="dxa" w:w="3096"/>
            <w:vAlign w:val="center"/>
          </w:tcPr>
          <w:p>
            <w:r/>
            <w:r>
              <w:rPr>
                <w:rFonts w:ascii="Aptos" w:hAnsi="Aptos"/>
                <w:b w:val="0"/>
                <w:sz w:val="17"/>
              </w:rPr>
              <w:t>Upper-relief length</w:t>
            </w:r>
          </w:p>
        </w:tc>
        <w:tc>
          <w:tcPr>
            <w:tcW w:type="dxa" w:w="1656"/>
            <w:vAlign w:val="center"/>
          </w:tcPr>
          <w:p>
            <w:r/>
            <w:r>
              <w:rPr>
                <w:rFonts w:ascii="Aptos" w:hAnsi="Aptos"/>
                <w:b w:val="0"/>
                <w:sz w:val="17"/>
              </w:rPr>
              <w:t>132.00 mm</w:t>
            </w:r>
          </w:p>
        </w:tc>
        <w:tc>
          <w:tcPr>
            <w:tcW w:type="dxa" w:w="5112"/>
            <w:vAlign w:val="center"/>
          </w:tcPr>
          <w:p>
            <w:r/>
            <w:r>
              <w:rPr>
                <w:rFonts w:ascii="Aptos" w:hAnsi="Aptos"/>
                <w:b w:val="0"/>
                <w:sz w:val="17"/>
              </w:rPr>
              <w:t>L − stop_top</w:t>
            </w:r>
          </w:p>
        </w:tc>
      </w:tr>
      <w:tr>
        <w:tc>
          <w:tcPr>
            <w:tcW w:type="dxa" w:w="3096"/>
            <w:vAlign w:val="center"/>
          </w:tcPr>
          <w:p>
            <w:r/>
            <w:r>
              <w:rPr>
                <w:rFonts w:ascii="Aptos" w:hAnsi="Aptos"/>
                <w:b w:val="0"/>
                <w:sz w:val="17"/>
              </w:rPr>
              <w:t>Tube-mouth chamfer</w:t>
            </w:r>
          </w:p>
        </w:tc>
        <w:tc>
          <w:tcPr>
            <w:tcW w:type="dxa" w:w="1656"/>
            <w:vAlign w:val="center"/>
          </w:tcPr>
          <w:p>
            <w:r/>
            <w:r>
              <w:rPr>
                <w:rFonts w:ascii="Aptos" w:hAnsi="Aptos"/>
                <w:b w:val="0"/>
                <w:sz w:val="17"/>
              </w:rPr>
              <w:t>0.80 mm</w:t>
            </w:r>
          </w:p>
        </w:tc>
        <w:tc>
          <w:tcPr>
            <w:tcW w:type="dxa" w:w="5112"/>
            <w:vAlign w:val="center"/>
          </w:tcPr>
          <w:p>
            <w:r/>
            <w:r>
              <w:rPr>
                <w:rFonts w:ascii="Aptos" w:hAnsi="Aptos"/>
                <w:b w:val="0"/>
                <w:sz w:val="17"/>
              </w:rPr>
              <w:t>Six inside bore edges</w:t>
            </w:r>
          </w:p>
        </w:tc>
      </w:tr>
      <w:tr>
        <w:tc>
          <w:tcPr>
            <w:tcW w:type="dxa" w:w="3096"/>
            <w:vAlign w:val="center"/>
          </w:tcPr>
          <w:p>
            <w:r/>
            <w:r>
              <w:rPr>
                <w:rFonts w:ascii="Aptos" w:hAnsi="Aptos"/>
                <w:b w:val="0"/>
                <w:sz w:val="17"/>
              </w:rPr>
              <w:t>Bottom-end chamfer</w:t>
            </w:r>
          </w:p>
        </w:tc>
        <w:tc>
          <w:tcPr>
            <w:tcW w:type="dxa" w:w="1656"/>
            <w:vAlign w:val="center"/>
          </w:tcPr>
          <w:p>
            <w:r/>
            <w:r>
              <w:rPr>
                <w:rFonts w:ascii="Aptos" w:hAnsi="Aptos"/>
                <w:b w:val="0"/>
                <w:sz w:val="17"/>
              </w:rPr>
              <w:t>0.80 mm</w:t>
            </w:r>
          </w:p>
        </w:tc>
        <w:tc>
          <w:tcPr>
            <w:tcW w:type="dxa" w:w="5112"/>
            <w:vAlign w:val="center"/>
          </w:tcPr>
          <w:p>
            <w:r/>
            <w:r>
              <w:rPr>
                <w:rFonts w:ascii="Aptos" w:hAnsi="Aptos"/>
                <w:b w:val="0"/>
                <w:sz w:val="17"/>
              </w:rPr>
              <w:t>Six outside perimeter edges</w:t>
            </w:r>
          </w:p>
        </w:tc>
      </w:tr>
      <w:tr>
        <w:tc>
          <w:tcPr>
            <w:tcW w:type="dxa" w:w="3096"/>
            <w:vAlign w:val="center"/>
          </w:tcPr>
          <w:p>
            <w:r/>
            <w:r>
              <w:rPr>
                <w:rFonts w:ascii="Aptos" w:hAnsi="Aptos"/>
                <w:b w:val="0"/>
                <w:sz w:val="17"/>
              </w:rPr>
              <w:t>Band corner fillets</w:t>
            </w:r>
          </w:p>
        </w:tc>
        <w:tc>
          <w:tcPr>
            <w:tcW w:type="dxa" w:w="1656"/>
            <w:vAlign w:val="center"/>
          </w:tcPr>
          <w:p>
            <w:r/>
            <w:r>
              <w:rPr>
                <w:rFonts w:ascii="Aptos" w:hAnsi="Aptos"/>
                <w:b w:val="0"/>
                <w:sz w:val="17"/>
              </w:rPr>
              <w:t>0.50 mm radius</w:t>
            </w:r>
          </w:p>
        </w:tc>
        <w:tc>
          <w:tcPr>
            <w:tcW w:type="dxa" w:w="5112"/>
            <w:vAlign w:val="center"/>
          </w:tcPr>
          <w:p>
            <w:r/>
            <w:r>
              <w:rPr>
                <w:rFonts w:ascii="Aptos" w:hAnsi="Aptos"/>
                <w:b w:val="0"/>
                <w:sz w:val="17"/>
              </w:rPr>
              <w:t>Six longitudinal corners on each full-size band</w:t>
            </w:r>
          </w:p>
        </w:tc>
      </w:tr>
      <w:tr>
        <w:tc>
          <w:tcPr>
            <w:tcW w:type="dxa" w:w="3096"/>
            <w:vAlign w:val="center"/>
          </w:tcPr>
          <w:p>
            <w:r/>
            <w:r>
              <w:rPr>
                <w:rFonts w:ascii="Aptos" w:hAnsi="Aptos"/>
                <w:b w:val="0"/>
                <w:sz w:val="17"/>
              </w:rPr>
              <w:t>Rib width</w:t>
            </w:r>
          </w:p>
        </w:tc>
        <w:tc>
          <w:tcPr>
            <w:tcW w:type="dxa" w:w="1656"/>
            <w:vAlign w:val="center"/>
          </w:tcPr>
          <w:p>
            <w:r/>
            <w:r>
              <w:rPr>
                <w:rFonts w:ascii="Aptos" w:hAnsi="Aptos"/>
                <w:b w:val="0"/>
                <w:sz w:val="17"/>
              </w:rPr>
              <w:t>0.50 mm</w:t>
            </w:r>
          </w:p>
        </w:tc>
        <w:tc>
          <w:tcPr>
            <w:tcW w:type="dxa" w:w="5112"/>
            <w:vAlign w:val="center"/>
          </w:tcPr>
          <w:p>
            <w:r/>
            <w:r>
              <w:rPr>
                <w:rFonts w:ascii="Aptos" w:hAnsi="Aptos"/>
                <w:b w:val="0"/>
                <w:sz w:val="17"/>
              </w:rPr>
              <w:t>Two rectangles on one guide-band face</w:t>
            </w:r>
          </w:p>
        </w:tc>
      </w:tr>
      <w:tr>
        <w:tc>
          <w:tcPr>
            <w:tcW w:type="dxa" w:w="3096"/>
            <w:vAlign w:val="center"/>
          </w:tcPr>
          <w:p>
            <w:r/>
            <w:r>
              <w:rPr>
                <w:rFonts w:ascii="Aptos" w:hAnsi="Aptos"/>
                <w:b w:val="0"/>
                <w:sz w:val="17"/>
              </w:rPr>
              <w:t>Rib projection</w:t>
            </w:r>
          </w:p>
        </w:tc>
        <w:tc>
          <w:tcPr>
            <w:tcW w:type="dxa" w:w="1656"/>
            <w:vAlign w:val="center"/>
          </w:tcPr>
          <w:p>
            <w:r/>
            <w:r>
              <w:rPr>
                <w:rFonts w:ascii="Aptos" w:hAnsi="Aptos"/>
                <w:b w:val="0"/>
                <w:sz w:val="17"/>
              </w:rPr>
              <w:t>0.15 mm</w:t>
            </w:r>
          </w:p>
        </w:tc>
        <w:tc>
          <w:tcPr>
            <w:tcW w:type="dxa" w:w="5112"/>
            <w:vAlign w:val="center"/>
          </w:tcPr>
          <w:p>
            <w:r/>
            <w:r>
              <w:rPr>
                <w:rFonts w:ascii="Aptos" w:hAnsi="Aptos"/>
                <w:b w:val="0"/>
                <w:sz w:val="17"/>
              </w:rPr>
              <w:t>Boss-Extrude outward</w:t>
            </w:r>
          </w:p>
        </w:tc>
      </w:tr>
      <w:tr>
        <w:tc>
          <w:tcPr>
            <w:tcW w:type="dxa" w:w="3096"/>
            <w:vAlign w:val="center"/>
          </w:tcPr>
          <w:p>
            <w:r/>
            <w:r>
              <w:rPr>
                <w:rFonts w:ascii="Aptos" w:hAnsi="Aptos"/>
                <w:b w:val="0"/>
                <w:sz w:val="17"/>
              </w:rPr>
              <w:t>Rib pattern</w:t>
            </w:r>
          </w:p>
        </w:tc>
        <w:tc>
          <w:tcPr>
            <w:tcW w:type="dxa" w:w="1656"/>
            <w:vAlign w:val="center"/>
          </w:tcPr>
          <w:p>
            <w:r/>
            <w:r>
              <w:rPr>
                <w:rFonts w:ascii="Aptos" w:hAnsi="Aptos"/>
                <w:b w:val="0"/>
                <w:sz w:val="17"/>
              </w:rPr>
              <w:t>6 instances / 360°</w:t>
            </w:r>
          </w:p>
        </w:tc>
        <w:tc>
          <w:tcPr>
            <w:tcW w:type="dxa" w:w="5112"/>
            <w:vAlign w:val="center"/>
          </w:tcPr>
          <w:p>
            <w:r/>
            <w:r>
              <w:rPr>
                <w:rFonts w:ascii="Aptos" w:hAnsi="Aptos"/>
                <w:b w:val="0"/>
                <w:sz w:val="17"/>
              </w:rPr>
              <w:t>Two ribs per face; 12 total</w:t>
            </w:r>
          </w:p>
        </w:tc>
      </w:tr>
    </w:tbl>
    <w:p>
      <w:pPr>
        <w:spacing w:after="0"/>
      </w:pPr>
    </w:p>
    <w:p>
      <w:pPr>
        <w:pStyle w:val="Heading1"/>
      </w:pPr>
      <w:r>
        <w:t>4. Parametric Setup</w:t>
      </w:r>
    </w:p>
    <w:p>
      <w:pPr>
        <w:pStyle w:val="Heading2"/>
      </w:pPr>
      <w:r>
        <w:t>Global variables used</w:t>
      </w:r>
    </w:p>
    <w:tbl>
      <w:tblPr>
        <w:tblStyle w:val="TableGrid"/>
        <w:tblW w:type="auto" w:w="0"/>
        <w:jc w:val="center"/>
        <w:tblLook w:firstColumn="1" w:firstRow="1" w:lastColumn="0" w:lastRow="0" w:noHBand="0" w:noVBand="1" w:val="04A0"/>
      </w:tblPr>
      <w:tblGrid>
        <w:gridCol w:w="5083"/>
        <w:gridCol w:w="5083"/>
      </w:tblGrid>
      <w:tr>
        <w:tc>
          <w:tcPr>
            <w:tcW w:type="dxa" w:w="3312"/>
            <w:vAlign w:val="center"/>
            <w:shd w:fill="1F4E79"/>
          </w:tcPr>
          <w:p>
            <w:r/>
            <w:r>
              <w:rPr>
                <w:rFonts w:ascii="Aptos" w:hAnsi="Aptos"/>
                <w:b/>
                <w:color w:val="FFFFFF"/>
                <w:sz w:val="18"/>
              </w:rPr>
              <w:t>Variable</w:t>
            </w:r>
          </w:p>
        </w:tc>
        <w:tc>
          <w:tcPr>
            <w:tcW w:type="dxa" w:w="6336"/>
            <w:vAlign w:val="center"/>
            <w:shd w:fill="1F4E79"/>
          </w:tcPr>
          <w:p>
            <w:r/>
            <w:r>
              <w:rPr>
                <w:rFonts w:ascii="Aptos" w:hAnsi="Aptos"/>
                <w:b/>
                <w:color w:val="FFFFFF"/>
                <w:sz w:val="18"/>
              </w:rPr>
              <w:t>Meaning</w:t>
            </w:r>
          </w:p>
        </w:tc>
      </w:tr>
      <w:tr>
        <w:tc>
          <w:tcPr>
            <w:tcW w:type="dxa" w:w="3312"/>
            <w:vAlign w:val="center"/>
          </w:tcPr>
          <w:p>
            <w:r/>
            <w:r>
              <w:rPr>
                <w:rFonts w:ascii="Aptos" w:hAnsi="Aptos"/>
                <w:b w:val="0"/>
                <w:sz w:val="17"/>
              </w:rPr>
              <w:t>AF</w:t>
            </w:r>
          </w:p>
        </w:tc>
        <w:tc>
          <w:tcPr>
            <w:tcW w:type="dxa" w:w="6336"/>
            <w:vAlign w:val="center"/>
          </w:tcPr>
          <w:p>
            <w:r/>
            <w:r>
              <w:rPr>
                <w:rFonts w:ascii="Aptos" w:hAnsi="Aptos"/>
                <w:b w:val="0"/>
                <w:sz w:val="17"/>
              </w:rPr>
              <w:t>Full-size outside flat-to-flat dimension</w:t>
            </w:r>
          </w:p>
        </w:tc>
      </w:tr>
      <w:tr>
        <w:tc>
          <w:tcPr>
            <w:tcW w:type="dxa" w:w="3312"/>
            <w:vAlign w:val="center"/>
          </w:tcPr>
          <w:p>
            <w:r/>
            <w:r>
              <w:rPr>
                <w:rFonts w:ascii="Aptos" w:hAnsi="Aptos"/>
                <w:b w:val="0"/>
                <w:sz w:val="17"/>
              </w:rPr>
              <w:t>wall</w:t>
            </w:r>
          </w:p>
        </w:tc>
        <w:tc>
          <w:tcPr>
            <w:tcW w:type="dxa" w:w="6336"/>
            <w:vAlign w:val="center"/>
          </w:tcPr>
          <w:p>
            <w:r/>
            <w:r>
              <w:rPr>
                <w:rFonts w:ascii="Aptos" w:hAnsi="Aptos"/>
                <w:b w:val="0"/>
                <w:sz w:val="17"/>
              </w:rPr>
              <w:t>Tube wall thickness</w:t>
            </w:r>
          </w:p>
        </w:tc>
      </w:tr>
      <w:tr>
        <w:tc>
          <w:tcPr>
            <w:tcW w:type="dxa" w:w="3312"/>
            <w:vAlign w:val="center"/>
          </w:tcPr>
          <w:p>
            <w:r/>
            <w:r>
              <w:rPr>
                <w:rFonts w:ascii="Aptos" w:hAnsi="Aptos"/>
                <w:b w:val="0"/>
                <w:sz w:val="17"/>
              </w:rPr>
              <w:t>L</w:t>
            </w:r>
          </w:p>
        </w:tc>
        <w:tc>
          <w:tcPr>
            <w:tcW w:type="dxa" w:w="6336"/>
            <w:vAlign w:val="center"/>
          </w:tcPr>
          <w:p>
            <w:r/>
            <w:r>
              <w:rPr>
                <w:rFonts w:ascii="Aptos" w:hAnsi="Aptos"/>
                <w:b w:val="0"/>
                <w:sz w:val="17"/>
              </w:rPr>
              <w:t>Overall tube length</w:t>
            </w:r>
          </w:p>
        </w:tc>
      </w:tr>
      <w:tr>
        <w:tc>
          <w:tcPr>
            <w:tcW w:type="dxa" w:w="3312"/>
            <w:vAlign w:val="center"/>
          </w:tcPr>
          <w:p>
            <w:r/>
            <w:r>
              <w:rPr>
                <w:rFonts w:ascii="Aptos" w:hAnsi="Aptos"/>
                <w:b w:val="0"/>
                <w:sz w:val="17"/>
              </w:rPr>
              <w:t>clr</w:t>
            </w:r>
          </w:p>
        </w:tc>
        <w:tc>
          <w:tcPr>
            <w:tcW w:type="dxa" w:w="6336"/>
            <w:vAlign w:val="center"/>
          </w:tcPr>
          <w:p>
            <w:r/>
            <w:r>
              <w:rPr>
                <w:rFonts w:ascii="Aptos" w:hAnsi="Aptos"/>
                <w:b w:val="0"/>
                <w:sz w:val="17"/>
              </w:rPr>
              <w:t>Clearance</w:t>
            </w:r>
          </w:p>
        </w:tc>
      </w:tr>
      <w:tr>
        <w:tc>
          <w:tcPr>
            <w:tcW w:type="dxa" w:w="3312"/>
            <w:vAlign w:val="center"/>
          </w:tcPr>
          <w:p>
            <w:r/>
            <w:r>
              <w:rPr>
                <w:rFonts w:ascii="Aptos" w:hAnsi="Aptos"/>
                <w:b w:val="0"/>
                <w:sz w:val="17"/>
              </w:rPr>
              <w:t>step</w:t>
            </w:r>
          </w:p>
        </w:tc>
        <w:tc>
          <w:tcPr>
            <w:tcW w:type="dxa" w:w="6336"/>
            <w:vAlign w:val="center"/>
          </w:tcPr>
          <w:p>
            <w:r/>
            <w:r>
              <w:rPr>
                <w:rFonts w:ascii="Aptos" w:hAnsi="Aptos"/>
                <w:b w:val="0"/>
                <w:sz w:val="17"/>
              </w:rPr>
              <w:t>Size step between tube configurations</w:t>
            </w:r>
          </w:p>
        </w:tc>
      </w:tr>
      <w:tr>
        <w:tc>
          <w:tcPr>
            <w:tcW w:type="dxa" w:w="3312"/>
            <w:vAlign w:val="center"/>
          </w:tcPr>
          <w:p>
            <w:r/>
            <w:r>
              <w:rPr>
                <w:rFonts w:ascii="Aptos" w:hAnsi="Aptos"/>
                <w:b w:val="0"/>
                <w:sz w:val="17"/>
              </w:rPr>
              <w:t>tail_h</w:t>
            </w:r>
          </w:p>
        </w:tc>
        <w:tc>
          <w:tcPr>
            <w:tcW w:type="dxa" w:w="6336"/>
            <w:vAlign w:val="center"/>
          </w:tcPr>
          <w:p>
            <w:r/>
            <w:r>
              <w:rPr>
                <w:rFonts w:ascii="Aptos" w:hAnsi="Aptos"/>
                <w:b w:val="0"/>
                <w:sz w:val="17"/>
              </w:rPr>
              <w:t>Guide-band axial length</w:t>
            </w:r>
          </w:p>
        </w:tc>
      </w:tr>
      <w:tr>
        <w:tc>
          <w:tcPr>
            <w:tcW w:type="dxa" w:w="3312"/>
            <w:vAlign w:val="center"/>
          </w:tcPr>
          <w:p>
            <w:r/>
            <w:r>
              <w:rPr>
                <w:rFonts w:ascii="Aptos" w:hAnsi="Aptos"/>
                <w:b w:val="0"/>
                <w:sz w:val="17"/>
              </w:rPr>
              <w:t>stop_h</w:t>
            </w:r>
          </w:p>
        </w:tc>
        <w:tc>
          <w:tcPr>
            <w:tcW w:type="dxa" w:w="6336"/>
            <w:vAlign w:val="center"/>
          </w:tcPr>
          <w:p>
            <w:r/>
            <w:r>
              <w:rPr>
                <w:rFonts w:ascii="Aptos" w:hAnsi="Aptos"/>
                <w:b w:val="0"/>
                <w:sz w:val="17"/>
              </w:rPr>
              <w:t>Stop-band axial length</w:t>
            </w:r>
          </w:p>
        </w:tc>
      </w:tr>
      <w:tr>
        <w:tc>
          <w:tcPr>
            <w:tcW w:type="dxa" w:w="3312"/>
            <w:vAlign w:val="center"/>
          </w:tcPr>
          <w:p>
            <w:r/>
            <w:r>
              <w:rPr>
                <w:rFonts w:ascii="Aptos" w:hAnsi="Aptos"/>
                <w:b w:val="0"/>
                <w:sz w:val="17"/>
              </w:rPr>
              <w:t>relief</w:t>
            </w:r>
          </w:p>
        </w:tc>
        <w:tc>
          <w:tcPr>
            <w:tcW w:type="dxa" w:w="6336"/>
            <w:vAlign w:val="center"/>
          </w:tcPr>
          <w:p>
            <w:r/>
            <w:r>
              <w:rPr>
                <w:rFonts w:ascii="Aptos" w:hAnsi="Aptos"/>
                <w:b w:val="0"/>
                <w:sz w:val="17"/>
              </w:rPr>
              <w:t>Material removed from each relieved outer face</w:t>
            </w:r>
          </w:p>
        </w:tc>
      </w:tr>
      <w:tr>
        <w:tc>
          <w:tcPr>
            <w:tcW w:type="dxa" w:w="3312"/>
            <w:vAlign w:val="center"/>
          </w:tcPr>
          <w:p>
            <w:r/>
            <w:r>
              <w:rPr>
                <w:rFonts w:ascii="Aptos" w:hAnsi="Aptos"/>
                <w:b w:val="0"/>
                <w:sz w:val="17"/>
              </w:rPr>
              <w:t>stop_top / stop_band_top</w:t>
            </w:r>
          </w:p>
        </w:tc>
        <w:tc>
          <w:tcPr>
            <w:tcW w:type="dxa" w:w="6336"/>
            <w:vAlign w:val="center"/>
          </w:tcPr>
          <w:p>
            <w:r/>
            <w:r>
              <w:rPr>
                <w:rFonts w:ascii="Aptos" w:hAnsi="Aptos"/>
                <w:b w:val="0"/>
                <w:sz w:val="17"/>
              </w:rPr>
              <w:t>Stop-band top position from the designated bottom end; use the exact existing name consistently</w:t>
            </w:r>
          </w:p>
        </w:tc>
      </w:tr>
    </w:tbl>
    <w:p>
      <w:pPr>
        <w:spacing w:after="0"/>
      </w:pPr>
    </w:p>
    <w:p>
      <w:pPr>
        <w:pStyle w:val="Heading2"/>
      </w:pPr>
      <w:r>
        <w:t>Required equations</w:t>
      </w:r>
    </w:p>
    <w:p>
      <w:pPr>
        <w:pStyle w:val="ListBullet"/>
        <w:spacing w:after="40"/>
      </w:pPr>
      <w:r>
        <w:t>Outer profile = "AF"</w:t>
      </w:r>
    </w:p>
    <w:p>
      <w:pPr>
        <w:pStyle w:val="ListBullet"/>
        <w:spacing w:after="40"/>
      </w:pPr>
      <w:r>
        <w:t>Main extrusion = "L"</w:t>
      </w:r>
    </w:p>
    <w:p>
      <w:pPr>
        <w:pStyle w:val="ListBullet"/>
        <w:spacing w:after="40"/>
      </w:pPr>
      <w:r>
        <w:t>Bore profile/offset = "AF" − 2 × "wall" (or offset = "wall")</w:t>
      </w:r>
    </w:p>
    <w:p>
      <w:pPr>
        <w:pStyle w:val="ListBullet"/>
        <w:spacing w:after="40"/>
      </w:pPr>
      <w:r>
        <w:t>Relief profile AF = "AF" − 2 × "relief"</w:t>
      </w:r>
    </w:p>
    <w:p>
      <w:pPr>
        <w:pStyle w:val="ListBullet"/>
        <w:spacing w:after="40"/>
      </w:pPr>
      <w:r>
        <w:t>Stop-band-top plane = "stop_top"</w:t>
      </w:r>
    </w:p>
    <w:p>
      <w:pPr>
        <w:pStyle w:val="ListBullet"/>
        <w:spacing w:after="40"/>
      </w:pPr>
      <w:r>
        <w:t>Lower-relief start offset = "tail_h"</w:t>
      </w:r>
    </w:p>
    <w:p>
      <w:pPr>
        <w:pStyle w:val="ListBullet"/>
        <w:spacing w:after="40"/>
      </w:pPr>
      <w:r>
        <w:t>Lower-relief depth = "stop_top" − "stop_h" − "tail_h"</w:t>
      </w:r>
    </w:p>
    <w:p>
      <w:pPr>
        <w:pStyle w:val="ListBullet"/>
        <w:spacing w:after="40"/>
      </w:pPr>
      <w:r>
        <w:t>Upper-relief depth = "L" − "stop_top"</w:t>
      </w:r>
    </w:p>
    <w:tbl>
      <w:tblPr>
        <w:tblW w:type="auto" w:w="0"/>
        <w:jc w:val="center"/>
        <w:tblLook w:firstColumn="1" w:firstRow="1" w:lastColumn="0" w:lastRow="0" w:noHBand="0" w:noVBand="1" w:val="04A0"/>
      </w:tblPr>
      <w:tblGrid>
        <w:gridCol w:w="10166"/>
      </w:tblGrid>
      <w:tr>
        <w:tc>
          <w:tcPr>
            <w:tcW w:type="dxa" w:w="10166"/>
            <w:shd w:fill="D9EAF7"/>
          </w:tcPr>
          <w:p>
            <w:r>
              <w:rPr>
                <w:b/>
                <w:color w:val="1F4E79"/>
              </w:rPr>
              <w:t xml:space="preserve">SolidWorks behavior  </w:t>
            </w:r>
            <w:r>
              <w:t>Numeric fields may display the evaluated value instead of the variable name. A dimension is only truly linked if Manage Equations contains a row such as D1@Feature = "L", and changing the global variable rebuilds the geometry.</w:t>
            </w:r>
          </w:p>
        </w:tc>
      </w:tr>
    </w:tbl>
    <w:p>
      <w:pPr>
        <w:spacing w:after="0"/>
      </w:pPr>
    </w:p>
    <w:p>
      <w:pPr>
        <w:pStyle w:val="Heading1"/>
      </w:pPr>
      <w:r>
        <w:t>5. Recommended Feature Tree Names</w:t>
      </w:r>
    </w:p>
    <w:p>
      <w:pPr>
        <w:ind w:left="0"/>
      </w:pPr>
      <w:r>
        <w:rPr>
          <w:rFonts w:ascii="Consolas" w:hAnsi="Consolas"/>
          <w:sz w:val="19"/>
        </w:rPr>
        <w:t>T2_Full_AF_Extrusion</w:t>
      </w:r>
    </w:p>
    <w:p>
      <w:pPr>
        <w:ind w:left="360"/>
      </w:pPr>
      <w:r>
        <w:rPr>
          <w:rFonts w:ascii="Consolas" w:hAnsi="Consolas"/>
          <w:sz w:val="19"/>
        </w:rPr>
        <w:t>T2_Full_AF_Profile</w:t>
      </w:r>
    </w:p>
    <w:p>
      <w:pPr>
        <w:ind w:left="0"/>
      </w:pPr>
      <w:r>
        <w:rPr>
          <w:rFonts w:ascii="Consolas" w:hAnsi="Consolas"/>
          <w:sz w:val="19"/>
        </w:rPr>
        <w:t>T2_Bore_Cut</w:t>
      </w:r>
    </w:p>
    <w:p>
      <w:pPr>
        <w:ind w:left="360"/>
      </w:pPr>
      <w:r>
        <w:rPr>
          <w:rFonts w:ascii="Consolas" w:hAnsi="Consolas"/>
          <w:sz w:val="19"/>
        </w:rPr>
        <w:t>T2_Bore_Profile</w:t>
      </w:r>
    </w:p>
    <w:p>
      <w:pPr>
        <w:ind w:left="0"/>
      </w:pPr>
      <w:r>
        <w:rPr>
          <w:rFonts w:ascii="Consolas" w:hAnsi="Consolas"/>
          <w:sz w:val="19"/>
        </w:rPr>
        <w:t>T2_Lower_Body_Relief</w:t>
      </w:r>
    </w:p>
    <w:p>
      <w:pPr>
        <w:ind w:left="360"/>
      </w:pPr>
      <w:r>
        <w:rPr>
          <w:rFonts w:ascii="Consolas" w:hAnsi="Consolas"/>
          <w:sz w:val="19"/>
        </w:rPr>
        <w:t>T2_Lower_Relief_Profile</w:t>
      </w:r>
    </w:p>
    <w:p>
      <w:pPr>
        <w:ind w:left="0"/>
      </w:pPr>
      <w:r>
        <w:rPr>
          <w:rFonts w:ascii="Consolas" w:hAnsi="Consolas"/>
          <w:sz w:val="19"/>
        </w:rPr>
        <w:t>T2_Stop_Band_Top_Plane</w:t>
      </w:r>
    </w:p>
    <w:p>
      <w:pPr>
        <w:ind w:left="0"/>
      </w:pPr>
      <w:r>
        <w:rPr>
          <w:rFonts w:ascii="Consolas" w:hAnsi="Consolas"/>
          <w:sz w:val="19"/>
        </w:rPr>
        <w:t>T2_Upper_Body_Relief</w:t>
      </w:r>
    </w:p>
    <w:p>
      <w:pPr>
        <w:ind w:left="360"/>
      </w:pPr>
      <w:r>
        <w:rPr>
          <w:rFonts w:ascii="Consolas" w:hAnsi="Consolas"/>
          <w:sz w:val="19"/>
        </w:rPr>
        <w:t>T2_Upper_Relief_Profile</w:t>
      </w:r>
    </w:p>
    <w:p>
      <w:pPr>
        <w:ind w:left="0"/>
      </w:pPr>
      <w:r>
        <w:rPr>
          <w:rFonts w:ascii="Consolas" w:hAnsi="Consolas"/>
          <w:sz w:val="19"/>
        </w:rPr>
        <w:t>T2_Bottom_End_Chamfer</w:t>
      </w:r>
    </w:p>
    <w:p>
      <w:pPr>
        <w:ind w:left="0"/>
      </w:pPr>
      <w:r>
        <w:rPr>
          <w:rFonts w:ascii="Consolas" w:hAnsi="Consolas"/>
          <w:sz w:val="19"/>
        </w:rPr>
        <w:t>T2_Tube_Mouth_Chamfer</w:t>
      </w:r>
    </w:p>
    <w:p>
      <w:pPr>
        <w:ind w:left="0"/>
      </w:pPr>
      <w:r>
        <w:rPr>
          <w:rFonts w:ascii="Consolas" w:hAnsi="Consolas"/>
          <w:sz w:val="19"/>
        </w:rPr>
        <w:t>T2_Stop_Band_Corner_Fillets</w:t>
      </w:r>
    </w:p>
    <w:p>
      <w:pPr>
        <w:ind w:left="0"/>
      </w:pPr>
      <w:r>
        <w:rPr>
          <w:rFonts w:ascii="Consolas" w:hAnsi="Consolas"/>
          <w:sz w:val="19"/>
        </w:rPr>
        <w:t>T2_Guide_Band_Corner_Fillets</w:t>
      </w:r>
    </w:p>
    <w:p>
      <w:pPr>
        <w:ind w:left="0"/>
      </w:pPr>
      <w:r>
        <w:rPr>
          <w:rFonts w:ascii="Consolas" w:hAnsi="Consolas"/>
          <w:sz w:val="19"/>
        </w:rPr>
        <w:t>T2_Guide_Band_Ribs_Master</w:t>
      </w:r>
    </w:p>
    <w:p>
      <w:pPr>
        <w:ind w:left="360"/>
      </w:pPr>
      <w:r>
        <w:rPr>
          <w:rFonts w:ascii="Consolas" w:hAnsi="Consolas"/>
          <w:sz w:val="19"/>
        </w:rPr>
        <w:t>T2_Guide_Band_Rib_Profile</w:t>
      </w:r>
    </w:p>
    <w:p>
      <w:pPr>
        <w:ind w:left="0"/>
      </w:pPr>
      <w:r>
        <w:rPr>
          <w:rFonts w:ascii="Consolas" w:hAnsi="Consolas"/>
          <w:sz w:val="19"/>
        </w:rPr>
        <w:t>T2_Tube_Center_Axis</w:t>
      </w:r>
    </w:p>
    <w:p>
      <w:pPr>
        <w:ind w:left="0"/>
      </w:pPr>
      <w:r>
        <w:rPr>
          <w:rFonts w:ascii="Consolas" w:hAnsi="Consolas"/>
          <w:sz w:val="19"/>
        </w:rPr>
        <w:t>T2_Guide_Band_Rib_Pattern</w:t>
      </w:r>
    </w:p>
    <w:p>
      <w:pPr>
        <w:pStyle w:val="Heading1"/>
      </w:pPr>
      <w:r>
        <w:t>6. Final Modeling Logic</w:t>
      </w:r>
    </w:p>
    <w:p>
      <w:pPr>
        <w:pStyle w:val="ListNumber"/>
        <w:spacing w:after="40"/>
      </w:pPr>
      <w:r>
        <w:t>Create the full 27.55 mm AF outer hexagon and extrude it to 165 mm.</w:t>
      </w:r>
    </w:p>
    <w:p>
      <w:pPr>
        <w:pStyle w:val="ListNumber"/>
        <w:spacing w:after="40"/>
      </w:pPr>
      <w:r>
        <w:t>Cut the continuous 23.55 mm AF bore, preserving 2.00 mm walls at full-size regions.</w:t>
      </w:r>
    </w:p>
    <w:p>
      <w:pPr>
        <w:pStyle w:val="ListNumber"/>
        <w:spacing w:after="40"/>
      </w:pPr>
      <w:r>
        <w:t>Create the lower relief using a 6 mm From Offset and a 21 mm cut depth, removing only the narrow ring between 27.55 mm and 26.35 mm AF.</w:t>
      </w:r>
    </w:p>
    <w:p>
      <w:pPr>
        <w:pStyle w:val="ListNumber"/>
        <w:spacing w:after="40"/>
      </w:pPr>
      <w:r>
        <w:t>Place the stop-band-top plane 33 mm from the designated bottom/guide-band end.</w:t>
      </w:r>
    </w:p>
    <w:p>
      <w:pPr>
        <w:pStyle w:val="ListNumber"/>
        <w:spacing w:after="40"/>
      </w:pPr>
      <w:r>
        <w:t>Create the upper relief from the 33 mm plane for 132 mm toward the long end, again cutting only the narrow relief ring.</w:t>
      </w:r>
    </w:p>
    <w:p>
      <w:pPr>
        <w:pStyle w:val="ListNumber"/>
        <w:spacing w:after="40"/>
      </w:pPr>
      <w:r>
        <w:t>This leaves untouched full-size regions at 0–6 mm and 27–33 mm.</w:t>
      </w:r>
    </w:p>
    <w:p>
      <w:pPr>
        <w:pStyle w:val="ListNumber"/>
        <w:spacing w:after="40"/>
      </w:pPr>
      <w:r>
        <w:t>Chamfer the six outer edges at the bottom end by 0.80 mm and the six inner bore edges at the tube mouth by 0.80 mm.</w:t>
      </w:r>
    </w:p>
    <w:p>
      <w:pPr>
        <w:pStyle w:val="ListNumber"/>
        <w:spacing w:after="40"/>
      </w:pPr>
      <w:r>
        <w:t>Apply 0.50 mm corner fillets only to the six longitudinal outer corners of each full-size band.</w:t>
      </w:r>
    </w:p>
    <w:p>
      <w:pPr>
        <w:pStyle w:val="ListNumber"/>
        <w:spacing w:after="40"/>
      </w:pPr>
      <w:r>
        <w:t>Create two 0.50 mm-wide rib rectangles on one guide-band face, extrude 0.15 mm outward with Merge Result enabled, and pattern the Boss-Extrude feature six times around the longitudinal axis.</w:t>
      </w:r>
    </w:p>
    <w:p>
      <w:pPr>
        <w:pStyle w:val="Heading1"/>
      </w:pPr>
      <w:r>
        <w:t>7. Errors Encountered and Corrections</w:t>
      </w:r>
    </w:p>
    <w:tbl>
      <w:tblPr>
        <w:tblStyle w:val="TableGrid"/>
        <w:tblW w:type="auto" w:w="0"/>
        <w:jc w:val="center"/>
        <w:tblLook w:firstColumn="1" w:firstRow="1" w:lastColumn="0" w:lastRow="0" w:noHBand="0" w:noVBand="1" w:val="04A0"/>
      </w:tblPr>
      <w:tblGrid>
        <w:gridCol w:w="3389"/>
        <w:gridCol w:w="3389"/>
        <w:gridCol w:w="3389"/>
      </w:tblGrid>
      <w:tr>
        <w:tc>
          <w:tcPr>
            <w:tcW w:type="dxa" w:w="2232"/>
            <w:vAlign w:val="center"/>
            <w:shd w:fill="1F4E79"/>
          </w:tcPr>
          <w:p>
            <w:r/>
            <w:r>
              <w:rPr>
                <w:rFonts w:ascii="Aptos" w:hAnsi="Aptos"/>
                <w:b/>
                <w:color w:val="FFFFFF"/>
                <w:sz w:val="18"/>
              </w:rPr>
              <w:t>Problem</w:t>
            </w:r>
          </w:p>
        </w:tc>
        <w:tc>
          <w:tcPr>
            <w:tcW w:type="dxa" w:w="3168"/>
            <w:vAlign w:val="center"/>
            <w:shd w:fill="1F4E79"/>
          </w:tcPr>
          <w:p>
            <w:r/>
            <w:r>
              <w:rPr>
                <w:rFonts w:ascii="Aptos" w:hAnsi="Aptos"/>
                <w:b/>
                <w:color w:val="FFFFFF"/>
                <w:sz w:val="18"/>
              </w:rPr>
              <w:t>Cause</w:t>
            </w:r>
          </w:p>
        </w:tc>
        <w:tc>
          <w:tcPr>
            <w:tcW w:type="dxa" w:w="4824"/>
            <w:vAlign w:val="center"/>
            <w:shd w:fill="1F4E79"/>
          </w:tcPr>
          <w:p>
            <w:r/>
            <w:r>
              <w:rPr>
                <w:rFonts w:ascii="Aptos" w:hAnsi="Aptos"/>
                <w:b/>
                <w:color w:val="FFFFFF"/>
                <w:sz w:val="18"/>
              </w:rPr>
              <w:t>Correction</w:t>
            </w:r>
          </w:p>
        </w:tc>
      </w:tr>
      <w:tr>
        <w:tc>
          <w:tcPr>
            <w:tcW w:type="dxa" w:w="2232"/>
            <w:vAlign w:val="center"/>
          </w:tcPr>
          <w:p>
            <w:r/>
            <w:r>
              <w:rPr>
                <w:rFonts w:ascii="Aptos" w:hAnsi="Aptos"/>
                <w:b w:val="0"/>
                <w:sz w:val="17"/>
              </w:rPr>
              <w:t>Global variable displayed as a number and did not drive geometry</w:t>
            </w:r>
          </w:p>
        </w:tc>
        <w:tc>
          <w:tcPr>
            <w:tcW w:type="dxa" w:w="3168"/>
            <w:vAlign w:val="center"/>
          </w:tcPr>
          <w:p>
            <w:r/>
            <w:r>
              <w:rPr>
                <w:rFonts w:ascii="Aptos" w:hAnsi="Aptos"/>
                <w:b w:val="0"/>
                <w:sz w:val="17"/>
              </w:rPr>
              <w:t>Variable existed but feature dimension had no equation link</w:t>
            </w:r>
          </w:p>
        </w:tc>
        <w:tc>
          <w:tcPr>
            <w:tcW w:type="dxa" w:w="4824"/>
            <w:vAlign w:val="center"/>
          </w:tcPr>
          <w:p>
            <w:r/>
            <w:r>
              <w:rPr>
                <w:rFonts w:ascii="Aptos" w:hAnsi="Aptos"/>
                <w:b w:val="0"/>
                <w:sz w:val="17"/>
              </w:rPr>
              <w:t>Added dimension equation in Manage Equations, e.g. D1@Boss-Extrude1 = "L"; confirmed by changing L and rebuilding</w:t>
            </w:r>
          </w:p>
        </w:tc>
      </w:tr>
      <w:tr>
        <w:tc>
          <w:tcPr>
            <w:tcW w:type="dxa" w:w="2232"/>
            <w:vAlign w:val="center"/>
          </w:tcPr>
          <w:p>
            <w:r/>
            <w:r>
              <w:rPr>
                <w:rFonts w:ascii="Aptos" w:hAnsi="Aptos"/>
                <w:b w:val="0"/>
                <w:sz w:val="17"/>
              </w:rPr>
              <w:t>Design-table AF error/obsolete warning</w:t>
            </w:r>
          </w:p>
        </w:tc>
        <w:tc>
          <w:tcPr>
            <w:tcW w:type="dxa" w:w="3168"/>
            <w:vAlign w:val="center"/>
          </w:tcPr>
          <w:p>
            <w:r/>
            <w:r>
              <w:rPr>
                <w:rFonts w:ascii="Aptos" w:hAnsi="Aptos"/>
                <w:b w:val="0"/>
                <w:sz w:val="17"/>
              </w:rPr>
              <w:t>Incorrect syntax or stale $VALUE@AF@EQUATIONS control</w:t>
            </w:r>
          </w:p>
        </w:tc>
        <w:tc>
          <w:tcPr>
            <w:tcW w:type="dxa" w:w="4824"/>
            <w:vAlign w:val="center"/>
          </w:tcPr>
          <w:p>
            <w:r/>
            <w:r>
              <w:rPr>
                <w:rFonts w:ascii="Aptos" w:hAnsi="Aptos"/>
                <w:b w:val="0"/>
                <w:sz w:val="17"/>
              </w:rPr>
              <w:t>Used exact global-variable name and design-table equation syntax; kept one control chain</w:t>
            </w:r>
          </w:p>
        </w:tc>
      </w:tr>
      <w:tr>
        <w:tc>
          <w:tcPr>
            <w:tcW w:type="dxa" w:w="2232"/>
            <w:vAlign w:val="center"/>
          </w:tcPr>
          <w:p>
            <w:r/>
            <w:r>
              <w:rPr>
                <w:rFonts w:ascii="Aptos" w:hAnsi="Aptos"/>
                <w:b w:val="0"/>
                <w:sz w:val="17"/>
              </w:rPr>
              <w:t>Upper/lower relief created rectangular openings</w:t>
            </w:r>
          </w:p>
        </w:tc>
        <w:tc>
          <w:tcPr>
            <w:tcW w:type="dxa" w:w="3168"/>
            <w:vAlign w:val="center"/>
          </w:tcPr>
          <w:p>
            <w:r/>
            <w:r>
              <w:rPr>
                <w:rFonts w:ascii="Aptos" w:hAnsi="Aptos"/>
                <w:b w:val="0"/>
                <w:sz w:val="17"/>
              </w:rPr>
              <w:t>Wrong contour, Flip Side to Cut, or old faulty Body_Relief_Cut remained active</w:t>
            </w:r>
          </w:p>
        </w:tc>
        <w:tc>
          <w:tcPr>
            <w:tcW w:type="dxa" w:w="4824"/>
            <w:vAlign w:val="center"/>
          </w:tcPr>
          <w:p>
            <w:r/>
            <w:r>
              <w:rPr>
                <w:rFonts w:ascii="Aptos" w:hAnsi="Aptos"/>
                <w:b w:val="0"/>
                <w:sz w:val="17"/>
              </w:rPr>
              <w:t>Used two-hexagon ring profile, selected only narrow ring, Flip Side to Cut off, suppressed obsolete cut</w:t>
            </w:r>
          </w:p>
        </w:tc>
      </w:tr>
      <w:tr>
        <w:tc>
          <w:tcPr>
            <w:tcW w:type="dxa" w:w="2232"/>
            <w:vAlign w:val="center"/>
          </w:tcPr>
          <w:p>
            <w:r/>
            <w:r>
              <w:rPr>
                <w:rFonts w:ascii="Aptos" w:hAnsi="Aptos"/>
                <w:b w:val="0"/>
                <w:sz w:val="17"/>
              </w:rPr>
              <w:t>Lower relief initially started at the end face</w:t>
            </w:r>
          </w:p>
        </w:tc>
        <w:tc>
          <w:tcPr>
            <w:tcW w:type="dxa" w:w="3168"/>
            <w:vAlign w:val="center"/>
          </w:tcPr>
          <w:p>
            <w:r/>
            <w:r>
              <w:rPr>
                <w:rFonts w:ascii="Aptos" w:hAnsi="Aptos"/>
                <w:b w:val="0"/>
                <w:sz w:val="17"/>
              </w:rPr>
              <w:t>21 mm cut started at 0 mm, creating wrong band widths</w:t>
            </w:r>
          </w:p>
        </w:tc>
        <w:tc>
          <w:tcPr>
            <w:tcW w:type="dxa" w:w="4824"/>
            <w:vAlign w:val="center"/>
          </w:tcPr>
          <w:p>
            <w:r/>
            <w:r>
              <w:rPr>
                <w:rFonts w:ascii="Aptos" w:hAnsi="Aptos"/>
                <w:b w:val="0"/>
                <w:sz w:val="17"/>
              </w:rPr>
              <w:t>Changed From condition to Offset = tail_h = 6 mm</w:t>
            </w:r>
          </w:p>
        </w:tc>
      </w:tr>
      <w:tr>
        <w:tc>
          <w:tcPr>
            <w:tcW w:type="dxa" w:w="2232"/>
            <w:vAlign w:val="center"/>
          </w:tcPr>
          <w:p>
            <w:r/>
            <w:r>
              <w:rPr>
                <w:rFonts w:ascii="Aptos" w:hAnsi="Aptos"/>
                <w:b w:val="0"/>
                <w:sz w:val="17"/>
              </w:rPr>
              <w:t>Stop-band plane was 33 mm from the wrong end</w:t>
            </w:r>
          </w:p>
        </w:tc>
        <w:tc>
          <w:tcPr>
            <w:tcW w:type="dxa" w:w="3168"/>
            <w:vAlign w:val="center"/>
          </w:tcPr>
          <w:p>
            <w:r/>
            <w:r>
              <w:rPr>
                <w:rFonts w:ascii="Aptos" w:hAnsi="Aptos"/>
                <w:b w:val="0"/>
                <w:sz w:val="17"/>
              </w:rPr>
              <w:t>Plane referenced Front Plane/opposite end</w:t>
            </w:r>
          </w:p>
        </w:tc>
        <w:tc>
          <w:tcPr>
            <w:tcW w:type="dxa" w:w="4824"/>
            <w:vAlign w:val="center"/>
          </w:tcPr>
          <w:p>
            <w:r/>
            <w:r>
              <w:rPr>
                <w:rFonts w:ascii="Aptos" w:hAnsi="Aptos"/>
                <w:b w:val="0"/>
                <w:sz w:val="17"/>
              </w:rPr>
              <w:t>Referenced designated bottom end face and offset 33 mm inward</w:t>
            </w:r>
          </w:p>
        </w:tc>
      </w:tr>
      <w:tr>
        <w:tc>
          <w:tcPr>
            <w:tcW w:type="dxa" w:w="2232"/>
            <w:vAlign w:val="center"/>
          </w:tcPr>
          <w:p>
            <w:r/>
            <w:r>
              <w:rPr>
                <w:rFonts w:ascii="Aptos" w:hAnsi="Aptos"/>
                <w:b w:val="0"/>
                <w:sz w:val="17"/>
              </w:rPr>
              <w:t>Upper and lower relief directions appeared swapped</w:t>
            </w:r>
          </w:p>
        </w:tc>
        <w:tc>
          <w:tcPr>
            <w:tcW w:type="dxa" w:w="3168"/>
            <w:vAlign w:val="center"/>
          </w:tcPr>
          <w:p>
            <w:r/>
            <w:r>
              <w:rPr>
                <w:rFonts w:ascii="Aptos" w:hAnsi="Aptos"/>
                <w:b w:val="0"/>
                <w:sz w:val="17"/>
              </w:rPr>
              <w:t>Direction arrows pointed outside or toward wrong side</w:t>
            </w:r>
          </w:p>
        </w:tc>
        <w:tc>
          <w:tcPr>
            <w:tcW w:type="dxa" w:w="4824"/>
            <w:vAlign w:val="center"/>
          </w:tcPr>
          <w:p>
            <w:r/>
            <w:r>
              <w:rPr>
                <w:rFonts w:ascii="Aptos" w:hAnsi="Aptos"/>
                <w:b w:val="0"/>
                <w:sz w:val="17"/>
              </w:rPr>
              <w:t>Upper relief points from 33 mm plane to long end; lower relief points from 6 mm position toward 27 mm</w:t>
            </w:r>
          </w:p>
        </w:tc>
      </w:tr>
      <w:tr>
        <w:tc>
          <w:tcPr>
            <w:tcW w:type="dxa" w:w="2232"/>
            <w:vAlign w:val="center"/>
          </w:tcPr>
          <w:p>
            <w:r/>
            <w:r>
              <w:rPr>
                <w:rFonts w:ascii="Aptos" w:hAnsi="Aptos"/>
                <w:b w:val="0"/>
                <w:sz w:val="17"/>
              </w:rPr>
              <w:t>Stop band appeared wrong</w:t>
            </w:r>
          </w:p>
        </w:tc>
        <w:tc>
          <w:tcPr>
            <w:tcW w:type="dxa" w:w="3168"/>
            <w:vAlign w:val="center"/>
          </w:tcPr>
          <w:p>
            <w:r/>
            <w:r>
              <w:rPr>
                <w:rFonts w:ascii="Aptos" w:hAnsi="Aptos"/>
                <w:b w:val="0"/>
                <w:sz w:val="17"/>
              </w:rPr>
              <w:t>33 mm position was confused with 6 mm band length</w:t>
            </w:r>
          </w:p>
        </w:tc>
        <w:tc>
          <w:tcPr>
            <w:tcW w:type="dxa" w:w="4824"/>
            <w:vAlign w:val="center"/>
          </w:tcPr>
          <w:p>
            <w:r/>
            <w:r>
              <w:rPr>
                <w:rFonts w:ascii="Aptos" w:hAnsi="Aptos"/>
                <w:b w:val="0"/>
                <w:sz w:val="17"/>
              </w:rPr>
              <w:t>Recognized stop band occupies 27–33 mm; 33 mm is a position, not thickness</w:t>
            </w:r>
          </w:p>
        </w:tc>
      </w:tr>
      <w:tr>
        <w:tc>
          <w:tcPr>
            <w:tcW w:type="dxa" w:w="2232"/>
            <w:vAlign w:val="center"/>
          </w:tcPr>
          <w:p>
            <w:r/>
            <w:r>
              <w:rPr>
                <w:rFonts w:ascii="Aptos" w:hAnsi="Aptos"/>
                <w:b w:val="0"/>
                <w:sz w:val="17"/>
              </w:rPr>
              <w:t>Measurements gave 0.4 mm, 13.6 mm, or 25.55 mm</w:t>
            </w:r>
          </w:p>
        </w:tc>
        <w:tc>
          <w:tcPr>
            <w:tcW w:type="dxa" w:w="3168"/>
            <w:vAlign w:val="center"/>
          </w:tcPr>
          <w:p>
            <w:r/>
            <w:r>
              <w:rPr>
                <w:rFonts w:ascii="Aptos" w:hAnsi="Aptos"/>
                <w:b w:val="0"/>
                <w:sz w:val="17"/>
              </w:rPr>
              <w:t>Wrong points/edges/faces selected</w:t>
            </w:r>
          </w:p>
        </w:tc>
        <w:tc>
          <w:tcPr>
            <w:tcW w:type="dxa" w:w="4824"/>
            <w:vAlign w:val="center"/>
          </w:tcPr>
          <w:p>
            <w:r/>
            <w:r>
              <w:rPr>
                <w:rFonts w:ascii="Aptos" w:hAnsi="Aptos"/>
                <w:b w:val="0"/>
                <w:sz w:val="17"/>
              </w:rPr>
              <w:t>Verified through equations and opposite parallel faces instead of mixed inner/outer entities</w:t>
            </w:r>
          </w:p>
        </w:tc>
      </w:tr>
      <w:tr>
        <w:tc>
          <w:tcPr>
            <w:tcW w:type="dxa" w:w="2232"/>
            <w:vAlign w:val="center"/>
          </w:tcPr>
          <w:p>
            <w:r/>
            <w:r>
              <w:rPr>
                <w:rFonts w:ascii="Aptos" w:hAnsi="Aptos"/>
                <w:b w:val="0"/>
                <w:sz w:val="17"/>
              </w:rPr>
              <w:t>Plane lost reference after cuts</w:t>
            </w:r>
          </w:p>
        </w:tc>
        <w:tc>
          <w:tcPr>
            <w:tcW w:type="dxa" w:w="3168"/>
            <w:vAlign w:val="center"/>
          </w:tcPr>
          <w:p>
            <w:r/>
            <w:r>
              <w:rPr>
                <w:rFonts w:ascii="Aptos" w:hAnsi="Aptos"/>
                <w:b w:val="0"/>
                <w:sz w:val="17"/>
              </w:rPr>
              <w:t>Plane referenced a model face changed by downstream features</w:t>
            </w:r>
          </w:p>
        </w:tc>
        <w:tc>
          <w:tcPr>
            <w:tcW w:type="dxa" w:w="4824"/>
            <w:vAlign w:val="center"/>
          </w:tcPr>
          <w:p>
            <w:r/>
            <w:r>
              <w:rPr>
                <w:rFonts w:ascii="Aptos" w:hAnsi="Aptos"/>
                <w:b w:val="0"/>
                <w:sz w:val="17"/>
              </w:rPr>
              <w:t>Repaired with a stable end-face reference; monitor for future topology changes</w:t>
            </w:r>
          </w:p>
        </w:tc>
      </w:tr>
      <w:tr>
        <w:tc>
          <w:tcPr>
            <w:tcW w:type="dxa" w:w="2232"/>
            <w:vAlign w:val="center"/>
          </w:tcPr>
          <w:p>
            <w:r/>
            <w:r>
              <w:rPr>
                <w:rFonts w:ascii="Aptos" w:hAnsi="Aptos"/>
                <w:b w:val="0"/>
                <w:sz w:val="17"/>
              </w:rPr>
              <w:t>Chamfer/fillet errors after geometry changes</w:t>
            </w:r>
          </w:p>
        </w:tc>
        <w:tc>
          <w:tcPr>
            <w:tcW w:type="dxa" w:w="3168"/>
            <w:vAlign w:val="center"/>
          </w:tcPr>
          <w:p>
            <w:r/>
            <w:r>
              <w:rPr>
                <w:rFonts w:ascii="Aptos" w:hAnsi="Aptos"/>
                <w:b w:val="0"/>
                <w:sz w:val="17"/>
              </w:rPr>
              <w:t>Edge IDs changed when relief/plane was repaired</w:t>
            </w:r>
          </w:p>
        </w:tc>
        <w:tc>
          <w:tcPr>
            <w:tcW w:type="dxa" w:w="4824"/>
            <w:vAlign w:val="center"/>
          </w:tcPr>
          <w:p>
            <w:r/>
            <w:r>
              <w:rPr>
                <w:rFonts w:ascii="Aptos" w:hAnsi="Aptos"/>
                <w:b w:val="0"/>
                <w:sz w:val="17"/>
              </w:rPr>
              <w:t>Edited feature, cleared missing references, reselected real edges</w:t>
            </w:r>
          </w:p>
        </w:tc>
      </w:tr>
      <w:tr>
        <w:tc>
          <w:tcPr>
            <w:tcW w:type="dxa" w:w="2232"/>
            <w:vAlign w:val="center"/>
          </w:tcPr>
          <w:p>
            <w:r/>
            <w:r>
              <w:rPr>
                <w:rFonts w:ascii="Aptos" w:hAnsi="Aptos"/>
                <w:b w:val="0"/>
                <w:sz w:val="17"/>
              </w:rPr>
              <w:t>Wrong circular pattern axis</w:t>
            </w:r>
          </w:p>
        </w:tc>
        <w:tc>
          <w:tcPr>
            <w:tcW w:type="dxa" w:w="3168"/>
            <w:vAlign w:val="center"/>
          </w:tcPr>
          <w:p>
            <w:r/>
            <w:r>
              <w:rPr>
                <w:rFonts w:ascii="Aptos" w:hAnsi="Aptos"/>
                <w:b w:val="0"/>
                <w:sz w:val="17"/>
              </w:rPr>
              <w:t>Axis ran across tube width</w:t>
            </w:r>
          </w:p>
        </w:tc>
        <w:tc>
          <w:tcPr>
            <w:tcW w:type="dxa" w:w="4824"/>
            <w:vAlign w:val="center"/>
          </w:tcPr>
          <w:p>
            <w:r/>
            <w:r>
              <w:rPr>
                <w:rFonts w:ascii="Aptos" w:hAnsi="Aptos"/>
                <w:b w:val="0"/>
                <w:sz w:val="17"/>
              </w:rPr>
              <w:t>Created longitudinal axis through bore center, perpendicular to end-profile plane</w:t>
            </w:r>
          </w:p>
        </w:tc>
      </w:tr>
      <w:tr>
        <w:tc>
          <w:tcPr>
            <w:tcW w:type="dxa" w:w="2232"/>
            <w:vAlign w:val="center"/>
          </w:tcPr>
          <w:p>
            <w:r/>
            <w:r>
              <w:rPr>
                <w:rFonts w:ascii="Aptos" w:hAnsi="Aptos"/>
                <w:b w:val="0"/>
                <w:sz w:val="17"/>
              </w:rPr>
              <w:t>Circular pattern showed no ribs</w:t>
            </w:r>
          </w:p>
        </w:tc>
        <w:tc>
          <w:tcPr>
            <w:tcW w:type="dxa" w:w="3168"/>
            <w:vAlign w:val="center"/>
          </w:tcPr>
          <w:p>
            <w:r/>
            <w:r>
              <w:rPr>
                <w:rFonts w:ascii="Aptos" w:hAnsi="Aptos"/>
                <w:b w:val="0"/>
                <w:sz w:val="17"/>
              </w:rPr>
              <w:t>Patterned sketch instead of Boss-Extrude feature</w:t>
            </w:r>
          </w:p>
        </w:tc>
        <w:tc>
          <w:tcPr>
            <w:tcW w:type="dxa" w:w="4824"/>
            <w:vAlign w:val="center"/>
          </w:tcPr>
          <w:p>
            <w:r/>
            <w:r>
              <w:rPr>
                <w:rFonts w:ascii="Aptos" w:hAnsi="Aptos"/>
                <w:b w:val="0"/>
                <w:sz w:val="17"/>
              </w:rPr>
              <w:t>Created T2_Guide_Band_Ribs_Master and patterned that enabled feature</w:t>
            </w:r>
          </w:p>
        </w:tc>
      </w:tr>
      <w:tr>
        <w:tc>
          <w:tcPr>
            <w:tcW w:type="dxa" w:w="2232"/>
            <w:vAlign w:val="center"/>
          </w:tcPr>
          <w:p>
            <w:r/>
            <w:r>
              <w:rPr>
                <w:rFonts w:ascii="Aptos" w:hAnsi="Aptos"/>
                <w:b w:val="0"/>
                <w:sz w:val="17"/>
              </w:rPr>
              <w:t>Ribs risked touching fillets/chamfers</w:t>
            </w:r>
          </w:p>
        </w:tc>
        <w:tc>
          <w:tcPr>
            <w:tcW w:type="dxa" w:w="3168"/>
            <w:vAlign w:val="center"/>
          </w:tcPr>
          <w:p>
            <w:r/>
            <w:r>
              <w:rPr>
                <w:rFonts w:ascii="Aptos" w:hAnsi="Aptos"/>
                <w:b w:val="0"/>
                <w:sz w:val="17"/>
              </w:rPr>
              <w:t>Rectangles coincident with uncertain rounded boundaries</w:t>
            </w:r>
          </w:p>
        </w:tc>
        <w:tc>
          <w:tcPr>
            <w:tcW w:type="dxa" w:w="4824"/>
            <w:vAlign w:val="center"/>
          </w:tcPr>
          <w:p>
            <w:r/>
            <w:r>
              <w:rPr>
                <w:rFonts w:ascii="Aptos" w:hAnsi="Aptos"/>
                <w:b w:val="0"/>
                <w:sz w:val="17"/>
              </w:rPr>
              <w:t>Kept rectangles on the flat guide-band face; use fully defined symmetric placement and avoid sliver geometry</w:t>
            </w:r>
          </w:p>
        </w:tc>
      </w:tr>
    </w:tbl>
    <w:p>
      <w:pPr>
        <w:spacing w:after="0"/>
      </w:pPr>
    </w:p>
    <w:p>
      <w:pPr>
        <w:pStyle w:val="Heading1"/>
      </w:pPr>
      <w:r>
        <w:t>8. Current State at End of Session</w:t>
      </w:r>
    </w:p>
    <w:p>
      <w:pPr>
        <w:pStyle w:val="ListBullet"/>
        <w:spacing w:after="40"/>
      </w:pPr>
      <w:r>
        <w:t>One solid body was maintained during the main tube work.</w:t>
      </w:r>
    </w:p>
    <w:p>
      <w:pPr>
        <w:pStyle w:val="ListBullet"/>
        <w:spacing w:after="40"/>
      </w:pPr>
      <w:r>
        <w:t>Cross-sectional dimensions were measured and matched: 27.55 mm, 23.55 mm, and 26.35 mm.</w:t>
      </w:r>
    </w:p>
    <w:p>
      <w:pPr>
        <w:pStyle w:val="ListBullet"/>
        <w:spacing w:after="40"/>
      </w:pPr>
      <w:r>
        <w:t>Stop-band logic was corrected to leave a 6 mm raised ring from 27 mm to 33 mm.</w:t>
      </w:r>
    </w:p>
    <w:p>
      <w:pPr>
        <w:pStyle w:val="ListBullet"/>
        <w:spacing w:after="40"/>
      </w:pPr>
      <w:r>
        <w:t>Mouth and bottom chamfer edge selection was corrected.</w:t>
      </w:r>
    </w:p>
    <w:p>
      <w:pPr>
        <w:pStyle w:val="ListBullet"/>
        <w:spacing w:after="40"/>
      </w:pPr>
      <w:r>
        <w:t>Stop-band and guide-band corner fillets were repaired/created; verify no red icons remain after final rebuild.</w:t>
      </w:r>
    </w:p>
    <w:p>
      <w:pPr>
        <w:pStyle w:val="ListBullet"/>
        <w:spacing w:after="40"/>
      </w:pPr>
      <w:r>
        <w:t>Longitudinal center axis was corrected and visible along the tube length.</w:t>
      </w:r>
    </w:p>
    <w:p>
      <w:pPr>
        <w:pStyle w:val="ListBullet"/>
        <w:spacing w:after="40"/>
      </w:pPr>
      <w:r>
        <w:t>Circular rib pattern preview appeared correct: six equal instances around 360°, two ribs per face.</w:t>
      </w:r>
    </w:p>
    <w:tbl>
      <w:tblPr>
        <w:tblW w:type="auto" w:w="0"/>
        <w:jc w:val="center"/>
        <w:tblLook w:firstColumn="1" w:firstRow="1" w:lastColumn="0" w:lastRow="0" w:noHBand="0" w:noVBand="1" w:val="04A0"/>
      </w:tblPr>
      <w:tblGrid>
        <w:gridCol w:w="10166"/>
      </w:tblGrid>
      <w:tr>
        <w:tc>
          <w:tcPr>
            <w:tcW w:type="dxa" w:w="10166"/>
            <w:shd w:fill="FFF2CC"/>
          </w:tcPr>
          <w:p>
            <w:r>
              <w:rPr>
                <w:b/>
                <w:color w:val="1F4E79"/>
              </w:rPr>
              <w:t xml:space="preserve">Exact resume point  </w:t>
            </w:r>
            <w:r>
              <w:t>Open the part, accept/verify T2_Guide_Band_Rib_Pattern if not already accepted, press Ctrl+Q, inspect the full guide band, then save. Do not restart the geometry unless the checklist below fails.</w:t>
            </w:r>
          </w:p>
        </w:tc>
      </w:tr>
    </w:tbl>
    <w:p>
      <w:pPr>
        <w:spacing w:after="0"/>
      </w:pPr>
    </w:p>
    <w:p>
      <w:pPr>
        <w:pStyle w:val="Heading1"/>
      </w:pPr>
      <w:r>
        <w:t>9. Restart and Final QA Checklist</w:t>
      </w:r>
    </w:p>
    <w:p>
      <w:pPr>
        <w:spacing w:after="40"/>
      </w:pPr>
      <w:r>
        <w:rPr>
          <w:b/>
        </w:rPr>
        <w:t xml:space="preserve">☐ </w:t>
      </w:r>
      <w:r>
        <w:t>Activate the T2 configuration.</w:t>
      </w:r>
    </w:p>
    <w:p>
      <w:pPr>
        <w:spacing w:after="40"/>
      </w:pPr>
      <w:r>
        <w:rPr>
          <w:b/>
        </w:rPr>
        <w:t xml:space="preserve">☐ </w:t>
      </w:r>
      <w:r>
        <w:t>Press Ctrl+Q and verify there are no red crosses or yellow warning triangles.</w:t>
      </w:r>
    </w:p>
    <w:p>
      <w:pPr>
        <w:spacing w:after="40"/>
      </w:pPr>
      <w:r>
        <w:rPr>
          <w:b/>
        </w:rPr>
        <w:t xml:space="preserve">☐ </w:t>
      </w:r>
      <w:r>
        <w:t>Confirm Solid Bodies(1).</w:t>
      </w:r>
    </w:p>
    <w:p>
      <w:pPr>
        <w:spacing w:after="40"/>
      </w:pPr>
      <w:r>
        <w:rPr>
          <w:b/>
        </w:rPr>
        <w:t xml:space="preserve">☐ </w:t>
      </w:r>
      <w:r>
        <w:t>Confirm AF = 27.55 mm, bore AF = 23.55 mm, relieved AF = 26.35 mm.</w:t>
      </w:r>
    </w:p>
    <w:p>
      <w:pPr>
        <w:spacing w:after="40"/>
      </w:pPr>
      <w:r>
        <w:rPr>
          <w:b/>
        </w:rPr>
        <w:t xml:space="preserve">☐ </w:t>
      </w:r>
      <w:r>
        <w:t>Confirm overall length = 165 mm.</w:t>
      </w:r>
    </w:p>
    <w:p>
      <w:pPr>
        <w:spacing w:after="40"/>
      </w:pPr>
      <w:r>
        <w:rPr>
          <w:b/>
        </w:rPr>
        <w:t xml:space="preserve">☐ </w:t>
      </w:r>
      <w:r>
        <w:t>Check lower relief: From Offset = 6 mm; depth = 21 mm; direction inward.</w:t>
      </w:r>
    </w:p>
    <w:p>
      <w:pPr>
        <w:spacing w:after="40"/>
      </w:pPr>
      <w:r>
        <w:rPr>
          <w:b/>
        </w:rPr>
        <w:t xml:space="preserve">☐ </w:t>
      </w:r>
      <w:r>
        <w:t>Check stop-band-top plane: 33 mm from designated bottom end.</w:t>
      </w:r>
    </w:p>
    <w:p>
      <w:pPr>
        <w:spacing w:after="40"/>
      </w:pPr>
      <w:r>
        <w:rPr>
          <w:b/>
        </w:rPr>
        <w:t xml:space="preserve">☐ </w:t>
      </w:r>
      <w:r>
        <w:t>Check upper relief: starts at 33 mm plane; depth = 132 mm toward long end.</w:t>
      </w:r>
    </w:p>
    <w:p>
      <w:pPr>
        <w:spacing w:after="40"/>
      </w:pPr>
      <w:r>
        <w:rPr>
          <w:b/>
        </w:rPr>
        <w:t xml:space="preserve">☐ </w:t>
      </w:r>
      <w:r>
        <w:t>Confirm visible sequence: raised guide band, recessed lower section, raised 6 mm stop band, long recessed upper section.</w:t>
      </w:r>
    </w:p>
    <w:p>
      <w:pPr>
        <w:spacing w:after="40"/>
      </w:pPr>
      <w:r>
        <w:rPr>
          <w:b/>
        </w:rPr>
        <w:t xml:space="preserve">☐ </w:t>
      </w:r>
      <w:r>
        <w:t>Confirm the mouth chamfer uses only six inside edges and the bottom chamfer uses six outside edges.</w:t>
      </w:r>
    </w:p>
    <w:p>
      <w:pPr>
        <w:spacing w:after="40"/>
      </w:pPr>
      <w:r>
        <w:rPr>
          <w:b/>
        </w:rPr>
        <w:t xml:space="preserve">☐ </w:t>
      </w:r>
      <w:r>
        <w:t>Confirm both full-size bands have only their six longitudinal outer corners filleted at R0.50 mm.</w:t>
      </w:r>
    </w:p>
    <w:p>
      <w:pPr>
        <w:spacing w:after="40"/>
      </w:pPr>
      <w:r>
        <w:rPr>
          <w:b/>
        </w:rPr>
        <w:t xml:space="preserve">☐ </w:t>
      </w:r>
      <w:r>
        <w:t>Confirm master ribs are 0.50 mm wide and 0.15 mm proud, Merge Result enabled.</w:t>
      </w:r>
    </w:p>
    <w:p>
      <w:pPr>
        <w:spacing w:after="40"/>
      </w:pPr>
      <w:r>
        <w:rPr>
          <w:b/>
        </w:rPr>
        <w:t xml:space="preserve">☐ </w:t>
      </w:r>
      <w:r>
        <w:t>Confirm circular pattern uses the longitudinal axis, six instances, 360°, equal spacing, Geometry Pattern enabled.</w:t>
      </w:r>
    </w:p>
    <w:p>
      <w:pPr>
        <w:spacing w:after="40"/>
      </w:pPr>
      <w:r>
        <w:rPr>
          <w:b/>
        </w:rPr>
        <w:t xml:space="preserve">☐ </w:t>
      </w:r>
      <w:r>
        <w:t>Count 12 ribs total and verify every rib remains on the guide band.</w:t>
      </w:r>
    </w:p>
    <w:p>
      <w:pPr>
        <w:spacing w:after="40"/>
      </w:pPr>
      <w:r>
        <w:rPr>
          <w:b/>
        </w:rPr>
        <w:t xml:space="preserve">☐ </w:t>
      </w:r>
      <w:r>
        <w:t>Turn on Section View and check that the bore is continuous with no rectangular holes or internal notches.</w:t>
      </w:r>
    </w:p>
    <w:p>
      <w:pPr>
        <w:spacing w:after="40"/>
      </w:pPr>
      <w:r>
        <w:rPr>
          <w:b/>
        </w:rPr>
        <w:t xml:space="preserve">☐ </w:t>
      </w:r>
      <w:r>
        <w:t>Turn Section View off and save with Ctrl+S.</w:t>
      </w:r>
    </w:p>
    <w:p>
      <w:pPr>
        <w:pStyle w:val="Heading1"/>
      </w:pPr>
      <w:r>
        <w:t>10. Short Handoff Explanation</w:t>
      </w:r>
    </w:p>
    <w:p>
      <w:r>
        <w:t>Use this paragraph if the model must be explained to another person:</w:t>
      </w:r>
    </w:p>
    <w:p>
      <w:pPr>
        <w:ind w:left="504" w:right="504"/>
      </w:pPr>
      <w:r>
        <w:rPr>
          <w:i/>
        </w:rPr>
        <w:t>“This is the T2 telescoping hex tube from the Kinetic Nexus specification. The model is configuration-driven with global variables controlling the full AF, wall, length, relief, guide band, stop band, and stop-band position. T2 is 27.55 mm AF, 23.55 mm bore AF, and 165 mm long. The outside is relieved to 26.35 mm AF except for a 6 mm guide band at the bottom and a 6 mm stop band from 27 to 33 mm. The mouth has a 0.8 mm inside chamfer, the bottom has a 0.8 mm outside chamfer, and both full-size bands have 0.5 mm corner fillets. Two 0.50 mm-wide, 0.15 mm-high ribs were created on one guide-band face and patterned around all six faces. The biggest corrections were the stop-band reference end, cut directions, contour selection, and patterning the Boss-Extrude instead of the sketch.”</w:t>
      </w:r>
    </w:p>
    <w:p>
      <w:pPr>
        <w:pStyle w:val="Heading1"/>
      </w:pPr>
      <w:r>
        <w:t>11. Known Cautions</w:t>
      </w:r>
    </w:p>
    <w:p>
      <w:pPr>
        <w:pStyle w:val="ListBullet"/>
        <w:spacing w:after="40"/>
      </w:pPr>
      <w:r>
        <w:t>The stop-band plane currently references an end face. If future edits replace that face, the plane can lose its reference. Reattach it to the designated bottom face or use a stable datum with the equivalent offset equation.</w:t>
      </w:r>
    </w:p>
    <w:p>
      <w:pPr>
        <w:pStyle w:val="ListBullet"/>
        <w:spacing w:after="40"/>
      </w:pPr>
      <w:r>
        <w:t>Use the exact existing global-variable name: stop_top or stop_band_top. Do not mix both names in different equations.</w:t>
      </w:r>
    </w:p>
    <w:p>
      <w:pPr>
        <w:pStyle w:val="ListBullet"/>
        <w:spacing w:after="40"/>
      </w:pPr>
      <w:r>
        <w:t>Avoid directly controlling both a global variable and its dependent sketch dimension from the design table. Preferred chain: Design Table → Global Variable → Dimension Equation → Feature.</w:t>
      </w:r>
    </w:p>
    <w:p>
      <w:pPr>
        <w:pStyle w:val="ListBullet"/>
        <w:spacing w:after="40"/>
      </w:pPr>
      <w:r>
        <w:t>Pattern the rib Boss-Extrude, never the sketch alone.</w:t>
      </w:r>
    </w:p>
    <w:p>
      <w:pPr>
        <w:pStyle w:val="ListBullet"/>
        <w:spacing w:after="40"/>
      </w:pPr>
      <w:r>
        <w:t>If a chamfer or fillet fails after upstream edits, repair missing edge references rather than recreating the whole part.</w:t>
      </w:r>
    </w:p>
    <w:p>
      <w:pPr>
        <w:pStyle w:val="ListBullet"/>
        <w:spacing w:after="40"/>
      </w:pPr>
      <w:r>
        <w:t>All further dimensions must be verified against the Kinetic-Nexus PDF, not the reference photographs.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Kinetic Nexus T2 SolidWorks Handoff • 16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Kinetic Nexus T2 SolidWorks Handoff</dc:title>
  <dc:subject>Parametric T2 telescoping hex tube progress and handoff</dc:subject>
  <dc:creator>Sergel Hasabella</dc:creator>
  <keywords/>
  <dc:description>generated by python-docx</dc:description>
  <lastModifiedBy>Sergel Hasabella</lastModifiedBy>
  <revision>1</revision>
  <dcterms:created xsi:type="dcterms:W3CDTF">2026-10-16T19:40:12.9340688Z</dcterms:created>
  <dcterms:modified xsi:type="dcterms:W3CDTF">2026-10-16T19:40:12.9340688Z</dcterms:modified>
  <category/>
</coreProperties>
</file>