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Ключевое отличие ФТ и НФТ: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Функциональные требования отвечают за то, ЧТО должна делать система</w:t>
        <w:br w:type="textWrapping"/>
        <w:t xml:space="preserve">Нефункциональные требования отвечают за то, КАК должна работать система. Определяют атрибуты качества системы.</w:t>
        <w:br w:type="textWrapping"/>
        <w:br w:type="textWrapping"/>
        <w:t xml:space="preserve">Номера предложений, содержащих НФТ: 2, 4, 5, 7, 8, 9</w:t>
        <w:br w:type="textWrapping"/>
        <w:t xml:space="preserve">Номер предложений, содержащих ФТ: 1, 3,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