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Спецификация формы «Заявка на материалы»</w:t>
      </w:r>
    </w:p>
    <w:p>
      <w:pPr>
        <w:spacing w:after="100"/>
        <w:jc w:val="center"/>
      </w:pPr>
      <w:r>
        <w:rPr>
          <w:color w:val="555555"/>
          <w:sz w:val="22"/>
          <w:szCs w:val="22"/>
        </w:rPr>
        <w:t xml:space="preserve">Автоматизация снабжения в строительной компании · Pyrus</w:t>
      </w:r>
    </w:p>
    <w:p>
      <w:pPr>
        <w:spacing w:after="300"/>
        <w:jc w:val="center"/>
      </w:pPr>
      <w:r>
        <w:rPr>
          <w:color w:val="888888"/>
          <w:sz w:val="20"/>
          <w:szCs w:val="20"/>
        </w:rPr>
        <w:t xml:space="preserve">Форма ID: 2455896 · Аккаунт: pyrus_demo@outlook.com</w:t>
      </w:r>
    </w:p>
    <w:p>
      <w:pPr>
        <w:pStyle w:val="Heading1"/>
        <w:spacing w:after="150" w:before="300"/>
      </w:pPr>
      <w:r>
        <w:t xml:space="preserve">1. Важное ограничение Pyrus API</w:t>
      </w:r>
    </w:p>
    <w:p>
      <w:pPr>
        <w:spacing w:after="120"/>
      </w:pPr>
      <w:r>
        <w:t xml:space="preserve">Pyrus API v4 не предоставляет методов для создания или редактирования полей, шагов и правил маршрутизации формы — это подтверждено официальной документацией (раздел «Формы»: доступны только GET /forms, GET /forms/{id}, GET /forms/{id}/register, GET и POST /forms/{id}/permissions). Структура формы (поля, этапы, маршруты) создаётся только вручную в конструкторе форм в веб-интерфейсе Pyrus.</w:t>
      </w:r>
    </w:p>
    <w:p>
      <w:pPr>
        <w:spacing w:after="120"/>
      </w:pPr>
      <w:r>
        <w:t xml:space="preserve">Дополнительно: используемая учётная запись (pyrus_demo@outlook.com, доступ по security_key) — это технический бот-аккаунт. Такие аккаунты предназначены для работы только через API и не могут входить в веб-интерфейс Pyrus, поэтому настроить форму «за пользователя» через браузер под этой учётной записью тоже нельзя.</w:t>
      </w:r>
    </w:p>
    <w:p>
      <w:pPr>
        <w:spacing w:after="120"/>
      </w:pPr>
      <w:r>
        <w:rPr>
          <w:b/>
          <w:bCs/>
        </w:rPr>
        <w:t xml:space="preserve">Что можно и что сделано программно через API: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Проверена структура существующей формы 2455896 (GET /forms/2455896) — скрипт pyrus_setup.py выводит её на экран.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Подготовлено создание 4 справочников (объекты, категории, лимиты, поставщики) методом PUT /catalogs — они нужны для полей типа catalog в форме.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Ниже приведена полная спецификация полей, ролей и маршрутизации для ручной настройки формы администратором Pyrus в конструкторе — это единственный поддерживаемый способ.</w:t>
      </w:r>
    </w:p>
    <w:p>
      <w:pPr>
        <w:pStyle w:val="Heading1"/>
        <w:spacing w:after="150" w:before="300"/>
      </w:pPr>
      <w:r>
        <w:t xml:space="preserve">2. Роли и права доступа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5040"/>
      </w:tblGrid>
      <w:tr>
        <w:trPr>
          <w:tblHeader/>
        </w:trPr>
        <w:tc>
          <w:tcPr>
            <w:tcW w:type="dxa" w:w="26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Роль</w:t>
            </w:r>
          </w:p>
        </w:tc>
        <w:tc>
          <w:tcPr>
            <w:tcW w:type="dxa" w:w="22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Уровень доступа к форме</w:t>
            </w:r>
          </w:p>
        </w:tc>
        <w:tc>
          <w:tcPr>
            <w:tcW w:type="dxa" w:w="504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Обязанности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Прораб</w:t>
            </w:r>
          </w:p>
        </w:tc>
        <w:tc>
          <w:tcPr>
            <w:tcW w:type="dxa" w:w="22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member</w:t>
            </w:r>
          </w:p>
        </w:tc>
        <w:tc>
          <w:tcPr>
            <w:tcW w:type="dxa" w:w="504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Создаёт заявки, прикладывает фото, участвует в приёмке, видит статус своей заявки</w:t>
            </w:r>
          </w:p>
        </w:tc>
      </w:tr>
      <w:tr>
        <w:tc>
          <w:tcPr>
            <w:tcW w:type="dxa" w:w="26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Кладовщик</w:t>
            </w:r>
          </w:p>
        </w:tc>
        <w:tc>
          <w:tcPr>
            <w:tcW w:type="dxa" w:w="22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member</w:t>
            </w:r>
          </w:p>
        </w:tc>
        <w:tc>
          <w:tcPr>
            <w:tcW w:type="dxa" w:w="504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Те же права, что у прораба — участвует в приёмке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Снабженец</w:t>
            </w:r>
          </w:p>
        </w:tc>
        <w:tc>
          <w:tcPr>
            <w:tcW w:type="dxa" w:w="22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manager / member (по этапам)</w:t>
            </w:r>
          </w:p>
        </w:tc>
        <w:tc>
          <w:tcPr>
            <w:tcW w:type="dxa" w:w="504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Видит все заявки по объектам, оформляет заказы, ведёт переписку и документы</w:t>
            </w:r>
          </w:p>
        </w:tc>
      </w:tr>
      <w:tr>
        <w:tc>
          <w:tcPr>
            <w:tcW w:type="dxa" w:w="26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Бухгалтер</w:t>
            </w:r>
          </w:p>
        </w:tc>
        <w:tc>
          <w:tcPr>
            <w:tcW w:type="dxa" w:w="22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member</w:t>
            </w:r>
          </w:p>
        </w:tc>
        <w:tc>
          <w:tcPr>
            <w:tcW w:type="dxa" w:w="504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Видит все заявки, оплачивает, загружает ПП, выгружает счета и УПД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Руководитель проекта / директор</w:t>
            </w:r>
          </w:p>
        </w:tc>
        <w:tc>
          <w:tcPr>
            <w:tcW w:type="dxa" w:w="22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restricted_manager</w:t>
            </w:r>
          </w:p>
        </w:tc>
        <w:tc>
          <w:tcPr>
            <w:tcW w:type="dxa" w:w="504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Согласует перерасход и срочные закупки, видит сводную отчётность</w:t>
            </w:r>
          </w:p>
        </w:tc>
      </w:tr>
      <w:tr>
        <w:tc>
          <w:tcPr>
            <w:tcW w:type="dxa" w:w="26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Администратор Pyrus</w:t>
            </w:r>
          </w:p>
        </w:tc>
        <w:tc>
          <w:tcPr>
            <w:tcW w:type="dxa" w:w="22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administrator</w:t>
            </w:r>
          </w:p>
        </w:tc>
        <w:tc>
          <w:tcPr>
            <w:tcW w:type="dxa" w:w="504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Настройка формы, справочников, прав доступа и отчётов</w:t>
            </w:r>
          </w:p>
        </w:tc>
      </w:tr>
    </w:tbl>
    <w:p>
      <w:pPr>
        <w:pStyle w:val="Heading1"/>
        <w:spacing w:after="150" w:before="300"/>
      </w:pPr>
      <w:r>
        <w:t xml:space="preserve">3. Поля формы «Заявка на материалы»</w:t>
      </w:r>
    </w:p>
    <w:p>
      <w:pPr>
        <w:spacing w:after="120"/>
      </w:pPr>
      <w:r>
        <w:t xml:space="preserve">Таблица ниже — это полная спецификация полей для ручного ввода в конструкторе формы Pyrus, с указанием типа поля Pyrus (см. «Формат полей формы» в документации API), условий обязательности и того, кто заполняет поле. Колонка «Код (code)» — англоязычный технический идентификатор поля (задаётся вручную в свойствах поля в конструкторе формы); используется при обращении к полю через API вместо числового id, поэтому рекомендуется проставить его каждому полю сразу при создании.</w:t>
      </w:r>
    </w:p>
    <w:tbl>
      <w:tblPr>
        <w:tblW w:type="dxa" w:w="12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850"/>
        <w:gridCol w:w="1600"/>
        <w:gridCol w:w="2400"/>
        <w:gridCol w:w="1750"/>
        <w:gridCol w:w="1500"/>
        <w:gridCol w:w="3000"/>
      </w:tblGrid>
      <w:tr>
        <w:trPr>
          <w:tblHeader/>
        </w:trPr>
        <w:tc>
          <w:tcPr>
            <w:tcW w:type="dxa" w:w="45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№</w:t>
            </w:r>
          </w:p>
        </w:tc>
        <w:tc>
          <w:tcPr>
            <w:tcW w:type="dxa" w:w="185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16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Код (code)</w:t>
            </w:r>
          </w:p>
        </w:tc>
        <w:tc>
          <w:tcPr>
            <w:tcW w:type="dxa" w:w="24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Тип поля (Pyrus)</w:t>
            </w:r>
          </w:p>
        </w:tc>
        <w:tc>
          <w:tcPr>
            <w:tcW w:type="dxa" w:w="175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Обязательность</w:t>
            </w:r>
          </w:p>
        </w:tc>
        <w:tc>
          <w:tcPr>
            <w:tcW w:type="dxa" w:w="15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Заполняет</w:t>
            </w:r>
          </w:p>
        </w:tc>
        <w:tc>
          <w:tcPr>
            <w:tcW w:type="dxa" w:w="30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Примечание</w:t>
            </w:r>
          </w:p>
        </w:tc>
      </w:tr>
      <w:tr>
        <w:tc>
          <w:tcPr>
            <w:tcW w:type="dxa" w:w="45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85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Объект</w:t>
            </w:r>
          </w:p>
        </w:tc>
        <w:tc>
          <w:tcPr>
            <w:tcW w:type="dxa" w:w="16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object</w:t>
            </w:r>
          </w:p>
        </w:tc>
        <w:tc>
          <w:tcPr>
            <w:tcW w:type="dxa" w:w="24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catalog → «Объекты стройки»</w:t>
            </w:r>
          </w:p>
        </w:tc>
        <w:tc>
          <w:tcPr>
            <w:tcW w:type="dxa" w:w="175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Обязательное, шаг 1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Прораб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Определяет объект, участок в лимитах и отчётах</w:t>
            </w:r>
          </w:p>
        </w:tc>
      </w:tr>
      <w:tr>
        <w:tc>
          <w:tcPr>
            <w:tcW w:type="dxa" w:w="45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85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Участок / этаж / зона</w:t>
            </w:r>
          </w:p>
        </w:tc>
        <w:tc>
          <w:tcPr>
            <w:tcW w:type="dxa" w:w="16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area</w:t>
            </w:r>
          </w:p>
        </w:tc>
        <w:tc>
          <w:tcPr>
            <w:tcW w:type="dxa" w:w="24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175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Обязательное, шаг 1</w:t>
            </w:r>
          </w:p>
        </w:tc>
        <w:tc>
          <w:tcPr>
            <w:tcW w:type="dxa" w:w="15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Прораб</w:t>
            </w:r>
          </w:p>
        </w:tc>
        <w:tc>
          <w:tcPr>
            <w:tcW w:type="dxa" w:w="3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Свободный текст</w:t>
            </w:r>
          </w:p>
        </w:tc>
      </w:tr>
      <w:tr>
        <w:tc>
          <w:tcPr>
            <w:tcW w:type="dxa" w:w="45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85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Категория материала</w:t>
            </w:r>
          </w:p>
        </w:tc>
        <w:tc>
          <w:tcPr>
            <w:tcW w:type="dxa" w:w="16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material_category</w:t>
            </w:r>
          </w:p>
        </w:tc>
        <w:tc>
          <w:tcPr>
            <w:tcW w:type="dxa" w:w="24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catalog → «Категории материалов»</w:t>
            </w:r>
          </w:p>
        </w:tc>
        <w:tc>
          <w:tcPr>
            <w:tcW w:type="dxa" w:w="175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Обязательное, шаг 1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Прораб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Влияет на подбор лимита</w:t>
            </w:r>
          </w:p>
        </w:tc>
      </w:tr>
      <w:tr>
        <w:tc>
          <w:tcPr>
            <w:tcW w:type="dxa" w:w="45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85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Позиции заявки (таблица)</w:t>
            </w:r>
          </w:p>
        </w:tc>
        <w:tc>
          <w:tcPr>
            <w:tcW w:type="dxa" w:w="16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items_table</w:t>
            </w:r>
          </w:p>
        </w:tc>
        <w:tc>
          <w:tcPr>
            <w:tcW w:type="dxa" w:w="24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table</w:t>
            </w:r>
          </w:p>
        </w:tc>
        <w:tc>
          <w:tcPr>
            <w:tcW w:type="dxa" w:w="175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Обязательное, шаг 1</w:t>
            </w:r>
          </w:p>
        </w:tc>
        <w:tc>
          <w:tcPr>
            <w:tcW w:type="dxa" w:w="15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Прораб</w:t>
            </w:r>
          </w:p>
        </w:tc>
        <w:tc>
          <w:tcPr>
            <w:tcW w:type="dxa" w:w="3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Строки: Наименование, Ед. изм., Кол-во по смете, Кол-во к заказу, Входит в смету (да/нет — авто), Остаток по смете (авто), Цена (заполняет снабженец), Статус поставки (авто, бот)</w:t>
            </w:r>
          </w:p>
        </w:tc>
      </w:tr>
      <w:tr>
        <w:tc>
          <w:tcPr>
            <w:tcW w:type="dxa" w:w="45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85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Номенклатура / описание</w:t>
            </w:r>
          </w:p>
        </w:tc>
        <w:tc>
          <w:tcPr>
            <w:tcW w:type="dxa" w:w="16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item_description</w:t>
            </w:r>
          </w:p>
        </w:tc>
        <w:tc>
          <w:tcPr>
            <w:tcW w:type="dxa" w:w="24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 + file (спецификация/чертёж)</w:t>
            </w:r>
          </w:p>
        </w:tc>
        <w:tc>
          <w:tcPr>
            <w:tcW w:type="dxa" w:w="175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Обязательное, шаг 1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Прораб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Если материала нет в смете — вводится вручную и подсвечивается «не входит в смету» (условное форматирование поля)</w:t>
            </w:r>
          </w:p>
        </w:tc>
      </w:tr>
      <w:tr>
        <w:tc>
          <w:tcPr>
            <w:tcW w:type="dxa" w:w="45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85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Единица измерения</w:t>
            </w:r>
          </w:p>
        </w:tc>
        <w:tc>
          <w:tcPr>
            <w:tcW w:type="dxa" w:w="16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unit</w:t>
            </w:r>
          </w:p>
        </w:tc>
        <w:tc>
          <w:tcPr>
            <w:tcW w:type="dxa" w:w="24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catalog или text</w:t>
            </w:r>
          </w:p>
        </w:tc>
        <w:tc>
          <w:tcPr>
            <w:tcW w:type="dxa" w:w="175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Обязательное, шаг 1</w:t>
            </w:r>
          </w:p>
        </w:tc>
        <w:tc>
          <w:tcPr>
            <w:tcW w:type="dxa" w:w="15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Прораб</w:t>
            </w:r>
          </w:p>
        </w:tc>
        <w:tc>
          <w:tcPr>
            <w:tcW w:type="dxa" w:w="3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Можно вынести в общий справочник единиц</w:t>
            </w:r>
          </w:p>
        </w:tc>
      </w:tr>
      <w:tr>
        <w:tc>
          <w:tcPr>
            <w:tcW w:type="dxa" w:w="45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85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Количество</w:t>
            </w:r>
          </w:p>
        </w:tc>
        <w:tc>
          <w:tcPr>
            <w:tcW w:type="dxa" w:w="16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quantity</w:t>
            </w:r>
          </w:p>
        </w:tc>
        <w:tc>
          <w:tcPr>
            <w:tcW w:type="dxa" w:w="24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number</w:t>
            </w:r>
          </w:p>
        </w:tc>
        <w:tc>
          <w:tcPr>
            <w:tcW w:type="dxa" w:w="175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Обязательное, шаг 1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Прораб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Сверяется со сметой; при превышении — красная подсветка + остаток</w:t>
            </w:r>
          </w:p>
        </w:tc>
      </w:tr>
      <w:tr>
        <w:tc>
          <w:tcPr>
            <w:tcW w:type="dxa" w:w="45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85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Остаток по смете</w:t>
            </w:r>
          </w:p>
        </w:tc>
        <w:tc>
          <w:tcPr>
            <w:tcW w:type="dxa" w:w="16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budget_remainder</w:t>
            </w:r>
          </w:p>
        </w:tc>
        <w:tc>
          <w:tcPr>
            <w:tcW w:type="dxa" w:w="24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number / money (read-only)</w:t>
            </w:r>
          </w:p>
        </w:tc>
        <w:tc>
          <w:tcPr>
            <w:tcW w:type="dxa" w:w="175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Автозаполнение</w:t>
            </w:r>
          </w:p>
        </w:tc>
        <w:tc>
          <w:tcPr>
            <w:tcW w:type="dxa" w:w="15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Система/бот</w:t>
            </w:r>
          </w:p>
        </w:tc>
        <w:tc>
          <w:tcPr>
            <w:tcW w:type="dxa" w:w="3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Показывается всегда; при уходе в минус — подсветка красным (форматирование по условию)</w:t>
            </w:r>
          </w:p>
        </w:tc>
      </w:tr>
      <w:tr>
        <w:tc>
          <w:tcPr>
            <w:tcW w:type="dxa" w:w="45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85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Стоимость по смете</w:t>
            </w:r>
          </w:p>
        </w:tc>
        <w:tc>
          <w:tcPr>
            <w:tcW w:type="dxa" w:w="16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budget_cost</w:t>
            </w:r>
          </w:p>
        </w:tc>
        <w:tc>
          <w:tcPr>
            <w:tcW w:type="dxa" w:w="24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money</w:t>
            </w:r>
          </w:p>
        </w:tc>
        <w:tc>
          <w:tcPr>
            <w:tcW w:type="dxa" w:w="175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Видимость: Директор, Снабженец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Система (из сметы) / Снабженец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Ограничение видимости настраивается в правах поля на шаге</w:t>
            </w:r>
          </w:p>
        </w:tc>
      </w:tr>
      <w:tr>
        <w:tc>
          <w:tcPr>
            <w:tcW w:type="dxa" w:w="45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85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Срок поставки</w:t>
            </w:r>
          </w:p>
        </w:tc>
        <w:tc>
          <w:tcPr>
            <w:tcW w:type="dxa" w:w="16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delivery_deadline</w:t>
            </w:r>
          </w:p>
        </w:tc>
        <w:tc>
          <w:tcPr>
            <w:tcW w:type="dxa" w:w="24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due_date_time</w:t>
            </w:r>
          </w:p>
        </w:tc>
        <w:tc>
          <w:tcPr>
            <w:tcW w:type="dxa" w:w="175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Обязательное, шаг 1</w:t>
            </w:r>
          </w:p>
        </w:tc>
        <w:tc>
          <w:tcPr>
            <w:tcW w:type="dxa" w:w="15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Прораб</w:t>
            </w:r>
          </w:p>
        </w:tc>
        <w:tc>
          <w:tcPr>
            <w:tcW w:type="dxa" w:w="3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Дата и время; используется для контроля просрочки</w:t>
            </w:r>
          </w:p>
        </w:tc>
      </w:tr>
      <w:tr>
        <w:tc>
          <w:tcPr>
            <w:tcW w:type="dxa" w:w="45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185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Приоритет</w:t>
            </w:r>
          </w:p>
        </w:tc>
        <w:tc>
          <w:tcPr>
            <w:tcW w:type="dxa" w:w="16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24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multiple_choice: Срочный / Плановый</w:t>
            </w:r>
          </w:p>
        </w:tc>
        <w:tc>
          <w:tcPr>
            <w:tcW w:type="dxa" w:w="175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Обязательное, шаг 1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Прораб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45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85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Обоснование перерасхода</w:t>
            </w:r>
          </w:p>
        </w:tc>
        <w:tc>
          <w:tcPr>
            <w:tcW w:type="dxa" w:w="16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overrun_reason</w:t>
            </w:r>
          </w:p>
        </w:tc>
        <w:tc>
          <w:tcPr>
            <w:tcW w:type="dxa" w:w="24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175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Обязательное, если лимит превышен</w:t>
            </w:r>
          </w:p>
        </w:tc>
        <w:tc>
          <w:tcPr>
            <w:tcW w:type="dxa" w:w="15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Прораб</w:t>
            </w:r>
          </w:p>
        </w:tc>
        <w:tc>
          <w:tcPr>
            <w:tcW w:type="dxa" w:w="3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required_step настраивается условно через маршрут «Требуется согласование»</w:t>
            </w:r>
          </w:p>
        </w:tc>
      </w:tr>
      <w:tr>
        <w:tc>
          <w:tcPr>
            <w:tcW w:type="dxa" w:w="45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85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Поставщик</w:t>
            </w:r>
          </w:p>
        </w:tc>
        <w:tc>
          <w:tcPr>
            <w:tcW w:type="dxa" w:w="16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supplier</w:t>
            </w:r>
          </w:p>
        </w:tc>
        <w:tc>
          <w:tcPr>
            <w:tcW w:type="dxa" w:w="24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catalog → «Поставщики»</w:t>
            </w:r>
          </w:p>
        </w:tc>
        <w:tc>
          <w:tcPr>
            <w:tcW w:type="dxa" w:w="175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Обязательное, шаг «Снабжение»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Снабженец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45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185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Цена поставщика</w:t>
            </w:r>
          </w:p>
        </w:tc>
        <w:tc>
          <w:tcPr>
            <w:tcW w:type="dxa" w:w="16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supplier_price</w:t>
            </w:r>
          </w:p>
        </w:tc>
        <w:tc>
          <w:tcPr>
            <w:tcW w:type="dxa" w:w="24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money</w:t>
            </w:r>
          </w:p>
        </w:tc>
        <w:tc>
          <w:tcPr>
            <w:tcW w:type="dxa" w:w="175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Обязательное, шаг «Снабжение»</w:t>
            </w:r>
          </w:p>
        </w:tc>
        <w:tc>
          <w:tcPr>
            <w:tcW w:type="dxa" w:w="15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Снабженец</w:t>
            </w:r>
          </w:p>
        </w:tc>
        <w:tc>
          <w:tcPr>
            <w:tcW w:type="dxa" w:w="3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Сверяется со стоимостью по смете</w:t>
            </w:r>
          </w:p>
        </w:tc>
      </w:tr>
      <w:tr>
        <w:tc>
          <w:tcPr>
            <w:tcW w:type="dxa" w:w="45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185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Номер заказа</w:t>
            </w:r>
          </w:p>
        </w:tc>
        <w:tc>
          <w:tcPr>
            <w:tcW w:type="dxa" w:w="16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order_number</w:t>
            </w:r>
          </w:p>
        </w:tc>
        <w:tc>
          <w:tcPr>
            <w:tcW w:type="dxa" w:w="24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175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Обязательное, шаг «Снабжение»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Снабженец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45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185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Счёт поставщика (файл)</w:t>
            </w:r>
          </w:p>
        </w:tc>
        <w:tc>
          <w:tcPr>
            <w:tcW w:type="dxa" w:w="16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invoice_file</w:t>
            </w:r>
          </w:p>
        </w:tc>
        <w:tc>
          <w:tcPr>
            <w:tcW w:type="dxa" w:w="24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file</w:t>
            </w:r>
          </w:p>
        </w:tc>
        <w:tc>
          <w:tcPr>
            <w:tcW w:type="dxa" w:w="175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Обязательное, шаг «Снабжение»</w:t>
            </w:r>
          </w:p>
        </w:tc>
        <w:tc>
          <w:tcPr>
            <w:tcW w:type="dxa" w:w="15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Снабженец</w:t>
            </w:r>
          </w:p>
        </w:tc>
        <w:tc>
          <w:tcPr>
            <w:tcW w:type="dxa" w:w="3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Прикладывается для проверки прорабом</w:t>
            </w:r>
          </w:p>
        </w:tc>
      </w:tr>
      <w:tr>
        <w:tc>
          <w:tcPr>
            <w:tcW w:type="dxa" w:w="45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W w:type="dxa" w:w="185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Подтверждение счёта</w:t>
            </w:r>
          </w:p>
        </w:tc>
        <w:tc>
          <w:tcPr>
            <w:tcW w:type="dxa" w:w="16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invoice_confirmed</w:t>
            </w:r>
          </w:p>
        </w:tc>
        <w:tc>
          <w:tcPr>
            <w:tcW w:type="dxa" w:w="24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checkmark / flag</w:t>
            </w:r>
          </w:p>
        </w:tc>
        <w:tc>
          <w:tcPr>
            <w:tcW w:type="dxa" w:w="175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Обязательное, шаг «Проверка счёта»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Прораб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Подтверждает корректность позиций и цен</w:t>
            </w:r>
          </w:p>
        </w:tc>
      </w:tr>
      <w:tr>
        <w:tc>
          <w:tcPr>
            <w:tcW w:type="dxa" w:w="45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185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Подтверждение оплаты</w:t>
            </w:r>
          </w:p>
        </w:tc>
        <w:tc>
          <w:tcPr>
            <w:tcW w:type="dxa" w:w="16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payment_confirmed</w:t>
            </w:r>
          </w:p>
        </w:tc>
        <w:tc>
          <w:tcPr>
            <w:tcW w:type="dxa" w:w="24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checkmark</w:t>
            </w:r>
          </w:p>
        </w:tc>
        <w:tc>
          <w:tcPr>
            <w:tcW w:type="dxa" w:w="175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Обязательное, шаг «Согласование оплаты»</w:t>
            </w:r>
          </w:p>
        </w:tc>
        <w:tc>
          <w:tcPr>
            <w:tcW w:type="dxa" w:w="15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Руководитель / директор</w:t>
            </w:r>
          </w:p>
        </w:tc>
        <w:tc>
          <w:tcPr>
            <w:tcW w:type="dxa" w:w="3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45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dxa" w:w="185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Статус оплаты</w:t>
            </w:r>
          </w:p>
        </w:tc>
        <w:tc>
          <w:tcPr>
            <w:tcW w:type="dxa" w:w="16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payment_status</w:t>
            </w:r>
          </w:p>
        </w:tc>
        <w:tc>
          <w:tcPr>
            <w:tcW w:type="dxa" w:w="24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multiple_choice: Предоплата / Отсрочка / По распорядительному письму</w:t>
            </w:r>
          </w:p>
        </w:tc>
        <w:tc>
          <w:tcPr>
            <w:tcW w:type="dxa" w:w="175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Обязательное, шаг «Оплата»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Бухгалтер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При «Отсрочке» — доп. поле «Срок отсрочки» (date); при «По распоряд. письму» — доп. поля для СФ и ПП от заказчика</w:t>
            </w:r>
          </w:p>
        </w:tc>
      </w:tr>
      <w:tr>
        <w:tc>
          <w:tcPr>
            <w:tcW w:type="dxa" w:w="45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185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Срок отсрочки</w:t>
            </w:r>
          </w:p>
        </w:tc>
        <w:tc>
          <w:tcPr>
            <w:tcW w:type="dxa" w:w="16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payment_deferral_date</w:t>
            </w:r>
          </w:p>
        </w:tc>
        <w:tc>
          <w:tcPr>
            <w:tcW w:type="dxa" w:w="24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dxa" w:w="175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Условно обязательное</w:t>
            </w:r>
          </w:p>
        </w:tc>
        <w:tc>
          <w:tcPr>
            <w:tcW w:type="dxa" w:w="15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Бухгалтер</w:t>
            </w:r>
          </w:p>
        </w:tc>
        <w:tc>
          <w:tcPr>
            <w:tcW w:type="dxa" w:w="3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Показывается только при статусе «Отсрочка» (правило видимости по значению multiple_choice)</w:t>
            </w:r>
          </w:p>
        </w:tc>
      </w:tr>
      <w:tr>
        <w:tc>
          <w:tcPr>
            <w:tcW w:type="dxa" w:w="45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21</w:t>
            </w:r>
          </w:p>
        </w:tc>
        <w:tc>
          <w:tcPr>
            <w:tcW w:type="dxa" w:w="185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Платёжное поручение (ПП)</w:t>
            </w:r>
          </w:p>
        </w:tc>
        <w:tc>
          <w:tcPr>
            <w:tcW w:type="dxa" w:w="16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payment_order_file</w:t>
            </w:r>
          </w:p>
        </w:tc>
        <w:tc>
          <w:tcPr>
            <w:tcW w:type="dxa" w:w="24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file</w:t>
            </w:r>
          </w:p>
        </w:tc>
        <w:tc>
          <w:tcPr>
            <w:tcW w:type="dxa" w:w="175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Обязательное, шаг «Оплата»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Бухгалтер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В перспективе — автосоздание ПП в 1С через интеграцию (вне API Pyrus, отдельный проект)</w:t>
            </w:r>
          </w:p>
        </w:tc>
      </w:tr>
      <w:tr>
        <w:tc>
          <w:tcPr>
            <w:tcW w:type="dxa" w:w="45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dxa" w:w="185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Отметка «Исполнено» (оплата)</w:t>
            </w:r>
          </w:p>
        </w:tc>
        <w:tc>
          <w:tcPr>
            <w:tcW w:type="dxa" w:w="16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payment_done</w:t>
            </w:r>
          </w:p>
        </w:tc>
        <w:tc>
          <w:tcPr>
            <w:tcW w:type="dxa" w:w="24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checkmark</w:t>
            </w:r>
          </w:p>
        </w:tc>
        <w:tc>
          <w:tcPr>
            <w:tcW w:type="dxa" w:w="175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Автоматически/вручную</w:t>
            </w:r>
          </w:p>
        </w:tc>
        <w:tc>
          <w:tcPr>
            <w:tcW w:type="dxa" w:w="15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Бухгалтер</w:t>
            </w:r>
          </w:p>
        </w:tc>
        <w:tc>
          <w:tcPr>
            <w:tcW w:type="dxa" w:w="3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45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23</w:t>
            </w:r>
          </w:p>
        </w:tc>
        <w:tc>
          <w:tcPr>
            <w:tcW w:type="dxa" w:w="185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Дата доставки</w:t>
            </w:r>
          </w:p>
        </w:tc>
        <w:tc>
          <w:tcPr>
            <w:tcW w:type="dxa" w:w="16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delivery_date</w:t>
            </w:r>
          </w:p>
        </w:tc>
        <w:tc>
          <w:tcPr>
            <w:tcW w:type="dxa" w:w="24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dxa" w:w="175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Обязательное после оплаты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Снабженец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Заполняется сразу после оплаты</w:t>
            </w:r>
          </w:p>
        </w:tc>
      </w:tr>
      <w:tr>
        <w:tc>
          <w:tcPr>
            <w:tcW w:type="dxa" w:w="45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24</w:t>
            </w:r>
          </w:p>
        </w:tc>
        <w:tc>
          <w:tcPr>
            <w:tcW w:type="dxa" w:w="185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Фото УПД</w:t>
            </w:r>
          </w:p>
        </w:tc>
        <w:tc>
          <w:tcPr>
            <w:tcW w:type="dxa" w:w="16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upd_photo</w:t>
            </w:r>
          </w:p>
        </w:tc>
        <w:tc>
          <w:tcPr>
            <w:tcW w:type="dxa" w:w="24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file (множественный)</w:t>
            </w:r>
          </w:p>
        </w:tc>
        <w:tc>
          <w:tcPr>
            <w:tcW w:type="dxa" w:w="175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Обязательное, шаг «Приёмка»</w:t>
            </w:r>
          </w:p>
        </w:tc>
        <w:tc>
          <w:tcPr>
            <w:tcW w:type="dxa" w:w="15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Кладовщик / Прораб</w:t>
            </w:r>
          </w:p>
        </w:tc>
        <w:tc>
          <w:tcPr>
            <w:tcW w:type="dxa" w:w="3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45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185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Подтверждение получения</w:t>
            </w:r>
          </w:p>
        </w:tc>
        <w:tc>
          <w:tcPr>
            <w:tcW w:type="dxa" w:w="16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receipt_confirmed</w:t>
            </w:r>
          </w:p>
        </w:tc>
        <w:tc>
          <w:tcPr>
            <w:tcW w:type="dxa" w:w="24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checkmark</w:t>
            </w:r>
          </w:p>
        </w:tc>
        <w:tc>
          <w:tcPr>
            <w:tcW w:type="dxa" w:w="175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Обязательное, шаг «Приёмка»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Кладовщик / Прораб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45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26</w:t>
            </w:r>
          </w:p>
        </w:tc>
        <w:tc>
          <w:tcPr>
            <w:tcW w:type="dxa" w:w="185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Комментарий по отказу от товара</w:t>
            </w:r>
          </w:p>
        </w:tc>
        <w:tc>
          <w:tcPr>
            <w:tcW w:type="dxa" w:w="16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rejection_comment</w:t>
            </w:r>
          </w:p>
        </w:tc>
        <w:tc>
          <w:tcPr>
            <w:tcW w:type="dxa" w:w="24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175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Условно обязательное</w:t>
            </w:r>
          </w:p>
        </w:tc>
        <w:tc>
          <w:tcPr>
            <w:tcW w:type="dxa" w:w="15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Кладовщик / Прораб</w:t>
            </w:r>
          </w:p>
        </w:tc>
        <w:tc>
          <w:tcPr>
            <w:tcW w:type="dxa" w:w="3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Заполняется при частичном/полном отказе</w:t>
            </w:r>
          </w:p>
        </w:tc>
      </w:tr>
      <w:tr>
        <w:tc>
          <w:tcPr>
            <w:tcW w:type="dxa" w:w="45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27</w:t>
            </w:r>
          </w:p>
        </w:tc>
        <w:tc>
          <w:tcPr>
            <w:tcW w:type="dxa" w:w="185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Статус сверки УПД со счётом</w:t>
            </w:r>
          </w:p>
        </w:tc>
        <w:tc>
          <w:tcPr>
            <w:tcW w:type="dxa" w:w="16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upd_match_status</w:t>
            </w:r>
          </w:p>
        </w:tc>
        <w:tc>
          <w:tcPr>
            <w:tcW w:type="dxa" w:w="24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multiple_choice: Отгружено / Не отгружено (по позиции)</w:t>
            </w:r>
          </w:p>
        </w:tc>
        <w:tc>
          <w:tcPr>
            <w:tcW w:type="dxa" w:w="175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Автозаполнение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Бот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Реализуется внешним ботом через API: сравнение позиций счёта и УПД, обновление статуса построчно в таблице (поле 4)</w:t>
            </w:r>
          </w:p>
        </w:tc>
      </w:tr>
      <w:tr>
        <w:tc>
          <w:tcPr>
            <w:tcW w:type="dxa" w:w="45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28</w:t>
            </w:r>
          </w:p>
        </w:tc>
        <w:tc>
          <w:tcPr>
            <w:tcW w:type="dxa" w:w="185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Закрытие с неполной поставкой</w:t>
            </w:r>
          </w:p>
        </w:tc>
        <w:tc>
          <w:tcPr>
            <w:tcW w:type="dxa" w:w="16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partial_delivery_close</w:t>
            </w:r>
          </w:p>
        </w:tc>
        <w:tc>
          <w:tcPr>
            <w:tcW w:type="dxa" w:w="24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checkmark + комментарий</w:t>
            </w:r>
          </w:p>
        </w:tc>
        <w:tc>
          <w:tcPr>
            <w:tcW w:type="dxa" w:w="175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По согласованию</w:t>
            </w:r>
          </w:p>
        </w:tc>
        <w:tc>
          <w:tcPr>
            <w:tcW w:type="dxa" w:w="15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Руководитель → уведомление Прорабу</w:t>
            </w:r>
          </w:p>
        </w:tc>
        <w:tc>
          <w:tcPr>
            <w:tcW w:type="dxa" w:w="3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Спец-переход маршрута с обязательным полем комментария</w:t>
            </w:r>
          </w:p>
        </w:tc>
      </w:tr>
    </w:tbl>
    <w:p>
      <w:pPr>
        <w:pStyle w:val="Heading1"/>
        <w:spacing w:after="150" w:before="300"/>
      </w:pPr>
      <w:r>
        <w:t xml:space="preserve">4. Справочники</w:t>
      </w:r>
    </w:p>
    <w:tbl>
      <w:tblPr>
        <w:tblW w:type="dxa" w:w="11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200"/>
        <w:gridCol w:w="2640"/>
      </w:tblGrid>
      <w:tr>
        <w:trPr>
          <w:tblHeader/>
        </w:trPr>
        <w:tc>
          <w:tcPr>
            <w:tcW w:type="dxa" w:w="24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Справочник</w:t>
            </w:r>
          </w:p>
        </w:tc>
        <w:tc>
          <w:tcPr>
            <w:tcW w:type="dxa" w:w="26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Колонки</w:t>
            </w:r>
          </w:p>
        </w:tc>
        <w:tc>
          <w:tcPr>
            <w:tcW w:type="dxa" w:w="42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Назначение</w:t>
            </w:r>
          </w:p>
        </w:tc>
        <w:tc>
          <w:tcPr>
            <w:tcW w:type="dxa" w:w="264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Статус</w:t>
            </w:r>
          </w:p>
        </w:tc>
      </w:tr>
      <w:tr>
        <w:tc>
          <w:tcPr>
            <w:tcW w:type="dxa" w:w="24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Объекты стройки</w:t>
            </w:r>
          </w:p>
        </w:tc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Объект, Адрес</w:t>
            </w:r>
          </w:p>
        </w:tc>
        <w:tc>
          <w:tcPr>
            <w:tcW w:type="dxa" w:w="42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Прораб выбирает объект заявки; используется в справочнике лимитов</w:t>
            </w:r>
          </w:p>
        </w:tc>
        <w:tc>
          <w:tcPr>
            <w:tcW w:type="dxa" w:w="264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создаётся через API (PUT /catalogs)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Категории материалов</w:t>
            </w:r>
          </w:p>
        </w:tc>
        <w:tc>
          <w:tcPr>
            <w:tcW w:type="dxa" w:w="26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Категория</w:t>
            </w:r>
          </w:p>
        </w:tc>
        <w:tc>
          <w:tcPr>
            <w:tcW w:type="dxa" w:w="42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Бетон, арматура, электрика, сантехника, отделка, инструмент, прочее</w:t>
            </w:r>
          </w:p>
        </w:tc>
        <w:tc>
          <w:tcPr>
            <w:tcW w:type="dxa" w:w="264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создаётся через API, наполнен стартовым списком</w:t>
            </w:r>
          </w:p>
        </w:tc>
      </w:tr>
      <w:tr>
        <w:tc>
          <w:tcPr>
            <w:tcW w:type="dxa" w:w="24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Лимиты по объектам</w:t>
            </w:r>
          </w:p>
        </w:tc>
        <w:tc>
          <w:tcPr>
            <w:tcW w:type="dxa" w:w="26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Объект, Категория, Лимит, Период</w:t>
            </w:r>
          </w:p>
        </w:tc>
        <w:tc>
          <w:tcPr>
            <w:tcW w:type="dxa" w:w="42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Источник лимита для проверки превышения расходов</w:t>
            </w:r>
          </w:p>
        </w:tc>
        <w:tc>
          <w:tcPr>
            <w:tcW w:type="dxa" w:w="264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создаётся через API, наполняется заказчиком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Поставщики</w:t>
            </w:r>
          </w:p>
        </w:tc>
        <w:tc>
          <w:tcPr>
            <w:tcW w:type="dxa" w:w="26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Название, Контакты, Условия, Рейтинг</w:t>
            </w:r>
          </w:p>
        </w:tc>
        <w:tc>
          <w:tcPr>
            <w:tcW w:type="dxa" w:w="42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Используется снабженцем при оформлении заказа</w:t>
            </w:r>
          </w:p>
        </w:tc>
        <w:tc>
          <w:tcPr>
            <w:tcW w:type="dxa" w:w="264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создаётся через API, наполняется снабженцем</w:t>
            </w:r>
          </w:p>
        </w:tc>
      </w:tr>
    </w:tbl>
    <w:p>
      <w:pPr>
        <w:pStyle w:val="Heading1"/>
        <w:spacing w:after="150" w:before="300"/>
      </w:pPr>
      <w:r>
        <w:t xml:space="preserve">5. Маршрутизация (этапы)</w:t>
      </w:r>
    </w:p>
    <w:tbl>
      <w:tblPr>
        <w:tblW w:type="dxa" w:w="11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800"/>
        <w:gridCol w:w="4500"/>
        <w:gridCol w:w="3140"/>
      </w:tblGrid>
      <w:tr>
        <w:trPr>
          <w:tblHeader/>
        </w:trPr>
        <w:tc>
          <w:tcPr>
            <w:tcW w:type="dxa" w:w="4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№</w:t>
            </w:r>
          </w:p>
        </w:tc>
        <w:tc>
          <w:tcPr>
            <w:tcW w:type="dxa" w:w="20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Этап</w:t>
            </w:r>
          </w:p>
        </w:tc>
        <w:tc>
          <w:tcPr>
            <w:tcW w:type="dxa" w:w="18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45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Действия на этапе</w:t>
            </w:r>
          </w:p>
        </w:tc>
        <w:tc>
          <w:tcPr>
            <w:tcW w:type="dxa" w:w="314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Переход</w:t>
            </w:r>
          </w:p>
        </w:tc>
      </w:tr>
      <w:tr>
        <w:tc>
          <w:tcPr>
            <w:tcW w:type="dxa" w:w="4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0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Заполнение заявки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Прораб</w:t>
            </w:r>
          </w:p>
        </w:tc>
        <w:tc>
          <w:tcPr>
            <w:tcW w:type="dxa" w:w="4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Выбор материалов по смете (или ручной ввод с авто-пометкой «не по смете»); проверка остатка по смете</w:t>
            </w:r>
          </w:p>
        </w:tc>
        <w:tc>
          <w:tcPr>
            <w:tcW w:type="dxa" w:w="314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→ автоматически назначается Снабженцу</w:t>
            </w:r>
          </w:p>
        </w:tc>
      </w:tr>
      <w:tr>
        <w:tc>
          <w:tcPr>
            <w:tcW w:type="dxa" w:w="4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Требуется согласование (условный шаг)</w:t>
            </w:r>
          </w:p>
        </w:tc>
        <w:tc>
          <w:tcPr>
            <w:tcW w:type="dxa" w:w="18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Руководитель / директор</w:t>
            </w:r>
          </w:p>
        </w:tc>
        <w:tc>
          <w:tcPr>
            <w:tcW w:type="dxa" w:w="45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Срабатывает автоматически, если количество/сумма превышает лимит из справочника «Лимиты по объектам»; снабженцу приходит уведомление</w:t>
            </w:r>
          </w:p>
        </w:tc>
        <w:tc>
          <w:tcPr>
            <w:tcW w:type="dxa" w:w="314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Согласовано → возврат Снабженцу. Отказ → возврат Прорабу с комментарием (заявка до правки сохраняется в архиве)</w:t>
            </w:r>
          </w:p>
        </w:tc>
      </w:tr>
      <w:tr>
        <w:tc>
          <w:tcPr>
            <w:tcW w:type="dxa" w:w="4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0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Снабжение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Снабженец</w:t>
            </w:r>
          </w:p>
        </w:tc>
        <w:tc>
          <w:tcPr>
            <w:tcW w:type="dxa" w:w="4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Фиксирует поставщика, цену, срок поставки, номер заказа, прикладывает счёт</w:t>
            </w:r>
          </w:p>
        </w:tc>
        <w:tc>
          <w:tcPr>
            <w:tcW w:type="dxa" w:w="314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→ Прораб</w:t>
            </w:r>
          </w:p>
        </w:tc>
      </w:tr>
      <w:tr>
        <w:tc>
          <w:tcPr>
            <w:tcW w:type="dxa" w:w="4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Проверка счёта</w:t>
            </w:r>
          </w:p>
        </w:tc>
        <w:tc>
          <w:tcPr>
            <w:tcW w:type="dxa" w:w="18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Прораб</w:t>
            </w:r>
          </w:p>
        </w:tc>
        <w:tc>
          <w:tcPr>
            <w:tcW w:type="dxa" w:w="45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Подтверждает корректность счёта от поставщика</w:t>
            </w:r>
          </w:p>
        </w:tc>
        <w:tc>
          <w:tcPr>
            <w:tcW w:type="dxa" w:w="314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→ Руководитель</w:t>
            </w:r>
          </w:p>
        </w:tc>
      </w:tr>
      <w:tr>
        <w:tc>
          <w:tcPr>
            <w:tcW w:type="dxa" w:w="4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0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Согласование оплаты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Руководитель / директор</w:t>
            </w:r>
          </w:p>
        </w:tc>
        <w:tc>
          <w:tcPr>
            <w:tcW w:type="dxa" w:w="4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Подтверждает оплату</w:t>
            </w:r>
          </w:p>
        </w:tc>
        <w:tc>
          <w:tcPr>
            <w:tcW w:type="dxa" w:w="314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→ Бухгалтерия</w:t>
            </w:r>
          </w:p>
        </w:tc>
      </w:tr>
      <w:tr>
        <w:tc>
          <w:tcPr>
            <w:tcW w:type="dxa" w:w="4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Оплата</w:t>
            </w:r>
          </w:p>
        </w:tc>
        <w:tc>
          <w:tcPr>
            <w:tcW w:type="dxa" w:w="18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Бухгалтер</w:t>
            </w:r>
          </w:p>
        </w:tc>
        <w:tc>
          <w:tcPr>
            <w:tcW w:type="dxa" w:w="45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Оплачивает счёт, подгружает ПП, ставит отметку «исполнено» (при статусе «По распоряд. письму» — доп. загрузка авансовой СФ / ПП от заказчика)</w:t>
            </w:r>
          </w:p>
        </w:tc>
        <w:tc>
          <w:tcPr>
            <w:tcW w:type="dxa" w:w="314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→ Снабженец</w:t>
            </w:r>
          </w:p>
        </w:tc>
      </w:tr>
      <w:tr>
        <w:tc>
          <w:tcPr>
            <w:tcW w:type="dxa" w:w="4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20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Планирование доставки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Снабженец</w:t>
            </w:r>
          </w:p>
        </w:tc>
        <w:tc>
          <w:tcPr>
            <w:tcW w:type="dxa" w:w="4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Ставит дату доставки</w:t>
            </w:r>
          </w:p>
        </w:tc>
        <w:tc>
          <w:tcPr>
            <w:tcW w:type="dxa" w:w="314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→ ожидание даты; при просрочке — автонапоминание снабженцу</w:t>
            </w:r>
          </w:p>
        </w:tc>
      </w:tr>
      <w:tr>
        <w:tc>
          <w:tcPr>
            <w:tcW w:type="dxa" w:w="4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2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Приёмка</w:t>
            </w:r>
          </w:p>
        </w:tc>
        <w:tc>
          <w:tcPr>
            <w:tcW w:type="dxa" w:w="18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Кладовщик / Прораб</w:t>
            </w:r>
          </w:p>
        </w:tc>
        <w:tc>
          <w:tcPr>
            <w:tcW w:type="dxa" w:w="45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Прикладывает фото УПД, подтверждает получение (полностью/частично), комментирует отказ от товара</w:t>
            </w:r>
          </w:p>
        </w:tc>
        <w:tc>
          <w:tcPr>
            <w:tcW w:type="dxa" w:w="314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Бот сверяет УПД со счётом и подсвечивает позиции зелёным/красным</w:t>
            </w:r>
          </w:p>
        </w:tc>
      </w:tr>
      <w:tr>
        <w:tc>
          <w:tcPr>
            <w:tcW w:type="dxa" w:w="4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20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Закрытие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Снабженец</w:t>
            </w:r>
          </w:p>
        </w:tc>
        <w:tc>
          <w:tcPr>
            <w:tcW w:type="dxa" w:w="4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Закрывает задачу после поставки и подтверждения приёмки всех позиций. Неполная поставка закрывается только по согласованию Руководителя, с уведомлением Прораба</w:t>
            </w:r>
          </w:p>
        </w:tc>
        <w:tc>
          <w:tcPr>
            <w:tcW w:type="dxa" w:w="314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Задача закрыта</w:t>
            </w:r>
          </w:p>
        </w:tc>
      </w:tr>
    </w:tbl>
    <w:p>
      <w:pPr>
        <w:pStyle w:val="Heading1"/>
        <w:spacing w:after="150" w:before="300"/>
      </w:pPr>
      <w:r>
        <w:t xml:space="preserve">6. Открытые вопросы из ТЗ</w:t>
      </w:r>
    </w:p>
    <w:p>
      <w:pPr>
        <w:spacing w:after="120"/>
      </w:pPr>
      <w:r>
        <w:t xml:space="preserve">Эти пункты вынесены заказчиком как вопросы — их нужно закрыть до финальной настройки соответствующей логики: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Автосверка счёта со сметой: подсвечивать позиции, где цена в счёте выше сметной — требует уточнения формулы сравнения и того, кто видит подсветку.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Объединение позиций «не из заявки, но есть в счёте» (пример: инсталляция для унитаза + крепления) — нужно решить, объединять ли автоматически в одну позицию или сопоставлять вручную снабженцем/ботом.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Статус оплаты «по распорядительному письму»: точный состав документов и очерёдность (авансовая СФ от бухгалтера, ПП от заказчика) — нужно зафиксировать до настройки условной логики поля.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Автосоздание платёжного поручения в 1С — отдельная интеграция вне Pyrus API (нужен коннектор 1С или промежуточный сервис), не реализуется средствами формы.</w:t>
      </w:r>
    </w:p>
    <w:p>
      <w:pPr>
        <w:pStyle w:val="Heading1"/>
        <w:spacing w:after="150" w:before="300"/>
      </w:pPr>
      <w:r>
        <w:t xml:space="preserve">7. Порядок внедрения</w:t>
      </w:r>
    </w:p>
    <w:p>
      <w:pPr>
        <w:spacing w:after="100"/>
      </w:pPr>
      <w:r>
        <w:rPr>
          <w:b/>
          <w:bCs/>
        </w:rPr>
        <w:t xml:space="preserve">1. </w:t>
      </w:r>
      <w:r>
        <w:t xml:space="preserve">Запустить pyrus_setup.py (см. ниже) — создаст 4 справочника через API и выведет их catalog_id, а также текущую структуру формы 2455896.</w:t>
      </w:r>
    </w:p>
    <w:p>
      <w:pPr>
        <w:spacing w:after="100"/>
      </w:pPr>
      <w:r>
        <w:rPr>
          <w:b/>
          <w:bCs/>
        </w:rPr>
        <w:t xml:space="preserve">2. </w:t>
      </w:r>
      <w:r>
        <w:t xml:space="preserve">В веб-интерфейсе Pyrus (под учётной записью администратора — не под ботом, боты не имеют доступа к UI) открыть конструктор формы 2455896 и добавить поля по таблице раздела 3, привязав catalog-поля к созданным справочникам по их catalog_id.</w:t>
      </w:r>
    </w:p>
    <w:p>
      <w:pPr>
        <w:spacing w:after="100"/>
      </w:pPr>
      <w:r>
        <w:rPr>
          <w:b/>
          <w:bCs/>
        </w:rPr>
        <w:t xml:space="preserve">3. </w:t>
      </w:r>
      <w:r>
        <w:t xml:space="preserve">Настроить этапы маршрутизации по таблице раздела 5, включая условный переход «Требуется согласование» по формуле сравнения количества/суммы с лимитом.</w:t>
      </w:r>
    </w:p>
    <w:p>
      <w:pPr>
        <w:spacing w:after="100"/>
      </w:pPr>
      <w:r>
        <w:rPr>
          <w:b/>
          <w:bCs/>
        </w:rPr>
        <w:t xml:space="preserve">4. </w:t>
      </w:r>
      <w:r>
        <w:t xml:space="preserve">Настроить видимость поля «Стоимость по смете» только для ролей Директор и Снабженец (правила показа поля по роли на этапе).</w:t>
      </w:r>
    </w:p>
    <w:p>
      <w:pPr>
        <w:spacing w:after="100"/>
      </w:pPr>
      <w:r>
        <w:rPr>
          <w:b/>
          <w:bCs/>
        </w:rPr>
        <w:t xml:space="preserve">5. </w:t>
      </w:r>
      <w:r>
        <w:t xml:space="preserve">Настроить права доступа к форме (POST /forms/2455896/permissions либо вручную) согласно таблице раздела 2.</w:t>
      </w:r>
    </w:p>
    <w:p>
      <w:pPr>
        <w:spacing w:after="100"/>
      </w:pPr>
      <w:r>
        <w:rPr>
          <w:b/>
          <w:bCs/>
        </w:rPr>
        <w:t xml:space="preserve">6. </w:t>
      </w:r>
      <w:r>
        <w:t xml:space="preserve">Реализовать бота сверки УПД со счётом как отдельный сервис, работающий через Pyrus API (чтение задачи, обновление статуса позиций, комментарии).</w:t>
      </w:r>
    </w:p>
    <w:p>
      <w:pPr>
        <w:spacing w:after="100"/>
      </w:pPr>
      <w:r>
        <w:rPr>
          <w:b/>
          <w:bCs/>
        </w:rPr>
        <w:t xml:space="preserve">7. </w:t>
      </w:r>
      <w:r>
        <w:t xml:space="preserve">Провести тестовый прогон заявки по всем этапам с участием одного представителя каждой роли.</w:t>
      </w:r>
    </w:p>
    <w:p>
      <w:pPr>
        <w:pStyle w:val="Heading1"/>
        <w:spacing w:after="150" w:before="300"/>
      </w:pPr>
      <w:r>
        <w:t xml:space="preserve">8. Прилагаемый скрипт</w:t>
      </w:r>
    </w:p>
    <w:p>
      <w:pPr>
        <w:spacing w:after="120"/>
      </w:pPr>
      <w:r>
        <w:t xml:space="preserve">Файл pyrus_setup.py (прилагается отдельно) выполняет через API: авторизацию, чтение текущей структуры формы 2455896 и создание 4 справочников из раздела 4. Секретный ключ передаётся через переменную окружения PYRUS_SECURITY_KEY и не хранится в самом скрипте.</w:t>
      </w:r>
    </w:p>
    <w:sectPr>
      <w:pgSz w:w="16838" w:h="11906" w:orient="landscape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2026-08-11T15:44:34.766Z</dcterms:created>
  <dcterms:modified xsi:type="dcterms:W3CDTF">2026-08-11T15:44:34.766Z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