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yat53cvx1212" w:id="0"/>
      <w:bookmarkEnd w:id="0"/>
      <w:r w:rsidDel="00000000" w:rsidR="00000000" w:rsidRPr="00000000">
        <w:rPr>
          <w:rtl w:val="0"/>
        </w:rPr>
        <w:t xml:space="preserve">ДЗ 6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Создать и заполнить таблицу classroom. Таблица включает в себя поля: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class. Формат: символьный (текстовый), максимум 3 символа. Содержит класс с литерой в формате “11а”.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student. Формат: символьный (текстовый), максимум 60 символов. Содержит ФИО ученика.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Ключевое поле.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Создать и заполнить таблицу classroom_teacher. Таблица включает в себя поля: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class. Формат: символьный (текстовый), максимум 3 символа. Содержит класс с литерой в формате “11а”. Является ключевым.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teacher. Формат: символьный (текстовый), максимум 60 символов. Содержит ФИО учителя.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Для таблицы classroom примените команду GROUP BY и функцию COUNT(), чтобы найти количество учащихся в каждом классе. Т.е. в выборке должен быть уникальным столбец class, а также должен присутствовать столбец COUNT(student).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С помощью оператора JOIN соединить таблицы classroom_teacher и classroom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Можно ли использовать команду UNION для таблиц classroom_teacher и classroom? Если нет, то почему?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