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Subtitle"/>
      </w:pPr>
      <w:r>
        <w:t xml:space="preserve">Неполнодоступная двухсервисная модель Эрланга с одинаковыми интенсивностями обслуживания и зарезервированной емкостью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задание-1"/>
    <w:p>
      <w:pPr>
        <w:pStyle w:val="Heading1"/>
      </w:pPr>
      <w:r>
        <w:t xml:space="preserve">1. Задание 1</w:t>
      </w:r>
    </w:p>
    <w:bookmarkStart w:id="20" w:name="X1592a01fddf286aa279ef7e013bf354a6d98796"/>
    <w:p>
      <w:pPr>
        <w:pStyle w:val="Heading2"/>
      </w:pPr>
      <w:r>
        <w:t xml:space="preserve">1.1 1. Алгоритм расчета вероятностных характеристик модели</w:t>
      </w:r>
    </w:p>
    <w:p>
      <w:pPr>
        <w:pStyle w:val="FirstParagraph"/>
      </w:pPr>
      <w:r>
        <w:rPr>
          <w:b/>
          <w:bCs/>
        </w:rPr>
        <w:t xml:space="preserve">Шаг 1: Ввод исходных данных</w:t>
      </w:r>
    </w:p>
    <w:p>
      <w:pPr>
        <w:pStyle w:val="BodyText"/>
      </w:pPr>
      <m:oMath>
        <m:r>
          <m:t>C</m:t>
        </m:r>
      </m:oMath>
      <w:r>
        <w:t xml:space="preserve"> </w:t>
      </w:r>
      <w:r>
        <w:t xml:space="preserve">— общая емкость системы;</w:t>
      </w:r>
    </w:p>
    <w:p>
      <w:pPr>
        <w:pStyle w:val="BodyText"/>
      </w:pPr>
      <m:oMath>
        <m:r>
          <m:t>g</m:t>
        </m:r>
      </m:oMath>
      <w:r>
        <w:t xml:space="preserve"> </w:t>
      </w:r>
      <w:r>
        <w:t xml:space="preserve">— полнодоступная часть емкости;</w:t>
      </w:r>
    </w:p>
    <w:p>
      <w:pPr>
        <w:pStyle w:val="BodyText"/>
      </w:pPr>
      <m:oMath>
        <m:r>
          <m:t>C</m:t>
        </m:r>
        <m:r>
          <m:rPr>
            <m:sty m:val="p"/>
          </m:rPr>
          <m:t>−</m:t>
        </m:r>
        <m:r>
          <m:t>g</m:t>
        </m:r>
      </m:oMath>
      <w:r>
        <w:t xml:space="preserve"> </w:t>
      </w:r>
      <w:r>
        <w:t xml:space="preserve">— часть емкости, зарезервированная для запросов первого типа;</w:t>
      </w:r>
    </w:p>
    <w:p>
      <w:pPr>
        <w:pStyle w:val="BodyText"/>
      </w:pP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— интенсивность поступления запросов первого типа;</w:t>
      </w:r>
    </w:p>
    <w:p>
      <w:pPr>
        <w:pStyle w:val="BodyText"/>
      </w:pP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— интенсивность поступления запросов второго типа;</w:t>
      </w:r>
    </w:p>
    <w:p>
      <w:pPr>
        <w:pStyle w:val="BodyText"/>
      </w:pPr>
      <m:oMath>
        <m:r>
          <m:t>μ</m:t>
        </m:r>
      </m:oMath>
      <w:r>
        <w:t xml:space="preserve"> </w:t>
      </w:r>
      <w:r>
        <w:t xml:space="preserve">— интенсивность обслуживания.</w:t>
      </w:r>
    </w:p>
    <w:p>
      <w:pPr>
        <w:pStyle w:val="BodyText"/>
      </w:pPr>
      <w:r>
        <w:rPr>
          <w:b/>
          <w:bCs/>
        </w:rPr>
        <w:t xml:space="preserve">Шаг 2: Расчет интенсивностей предложенной нагрузки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μ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ρ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λ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μ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Шаг 3: Расчет вероятности нулевого состояния</w:t>
      </w:r>
    </w:p>
    <w:p>
      <w:pPr>
        <w:pStyle w:val="BodyText"/>
      </w:pPr>
      <w:r>
        <w:t xml:space="preserve">Вероятность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определяется из условия нормировки стационарного распределения: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g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ρ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sSub>
                                    <m:e>
                                      <m:r>
                                        <m:t>ρ</m:t>
                                      </m:r>
                                    </m:e>
                                    <m:sub>
                                      <m: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m:t>n</m:t>
                              </m:r>
                            </m:sup>
                          </m:sSup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ρ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ρ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g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ρ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g</m:t>
                              </m:r>
                            </m:sup>
                          </m:sSubSup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Шаг 4: Расчет стационарных вероятностей состояний</w:t>
      </w:r>
    </w:p>
    <w:p>
      <w:pPr>
        <w:pStyle w:val="BodyText"/>
      </w:pPr>
      <w:r>
        <w:t xml:space="preserve">Для состояний от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запросы обоих типов могут поступать в систему: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g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состояний от</w:t>
      </w:r>
      <w:r>
        <w:t xml:space="preserve"> </w:t>
      </w:r>
      <m:oMath>
        <m:r>
          <m:t>g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запросы второго типа блокируются, поэтому учитывается только нагрузка первого типа: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ρ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g</m:t>
                  </m:r>
                </m:sup>
              </m:sSup>
              <m:sSubSup>
                <m:e>
                  <m:r>
                    <m:t>ρ</m:t>
                  </m:r>
                </m:e>
                <m:sub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</m:sup>
              </m:sSub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Шаг 5: Расчет вероятностей блокировки</w:t>
      </w:r>
    </w:p>
    <w:p>
      <w:pPr>
        <w:pStyle w:val="BodyText"/>
      </w:pPr>
      <w:r>
        <w:t xml:space="preserve">Запрос первого типа блокируется только при полном заполнении системы: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Запрос второго типа блокируется при занятости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и более каналов: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g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Шаг 6: Расчет среднего числа запросов в системе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bookmarkEnd w:id="21"/>
    <w:bookmarkStart w:id="34" w:name="задание-2"/>
    <w:p>
      <w:pPr>
        <w:pStyle w:val="Heading1"/>
      </w:pPr>
      <w:r>
        <w:t xml:space="preserve">2. Задание 2</w:t>
      </w:r>
    </w:p>
    <w:p>
      <w:pPr>
        <w:pStyle w:val="FirstParagraph"/>
      </w:pPr>
      <w:r>
        <w:t xml:space="preserve">Программа реализует алгоритм расчета вероятностных характеристик неполнодоступной двухсервисной модели Эрланга с зарезервированной емкостью. Для заданных параметров рассчитываются интенсивности предложенной нагрузки, вероятность нулевого состояния, стационарное распределение вероятностей, вероятности блокировки запросов первого и второго типов и среднее число обслуживаемых запросов.</w:t>
      </w:r>
    </w:p>
    <w:p>
      <w:pPr>
        <w:pStyle w:val="BodyText"/>
      </w:pPr>
      <w:r>
        <w:t xml:space="preserve">В программе используются следующие исходные значения: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λ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  </m:t>
          </m:r>
          <m:r>
            <m:t>μ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2213001" cy="138312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3001" cy="13831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Исходные значения C, g, lambda1, lambda2 и mu</w:t>
            </w:r>
          </w:p>
          <w:bookmarkEnd w:id="25"/>
        </w:tc>
      </w:tr>
    </w:tbl>
    <w:p>
      <w:pPr>
        <w:pStyle w:val="BodyText"/>
      </w:pPr>
      <w:r>
        <w:t xml:space="preserve">Основные вычисления выполняются функцией</w:t>
      </w:r>
      <w:r>
        <w:t xml:space="preserve"> </w:t>
      </w:r>
      <w:r>
        <w:rPr>
          <w:rStyle w:val="VerbatimChar"/>
        </w:rPr>
        <w:t xml:space="preserve">calculate_model</w:t>
      </w:r>
      <w:r>
        <w:t xml:space="preserve">. Вначале рассчитываются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ρ</m:t>
            </m:r>
          </m:e>
          <m:sub>
            <m:r>
              <m:t>2</m:t>
            </m:r>
          </m:sub>
        </m:sSub>
      </m:oMath>
      <w:r>
        <w:t xml:space="preserve">, затем непосредственно по формулам определяется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и все вероятности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 После этого рассчитываются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58973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97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Функция calculate_model</w:t>
            </w:r>
          </w:p>
          <w:bookmarkEnd w:id="29"/>
        </w:tc>
      </w:tr>
    </w:tbl>
    <w:p>
      <w:pPr>
        <w:pStyle w:val="BodyText"/>
      </w:pPr>
      <w:r>
        <w:t xml:space="preserve">После вызова функции программа выводит распределение вероятностей состояний системы и основные вероятностные характеристики.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82220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2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Распределение вероятностей и значения E1, E2 и N</w:t>
            </w:r>
          </w:p>
          <w:bookmarkEnd w:id="33"/>
        </w:tc>
      </w:tr>
    </w:tbl>
    <w:p>
      <w:pPr>
        <w:pStyle w:val="BodyText"/>
      </w:pPr>
      <w:r>
        <w:t xml:space="preserve">Для заданных исходных данных получены следующие результаты: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0.018406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0.375029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r>
            <m:t>5.801286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1. Распределение вероятностей</w:t>
      </w:r>
      <w:r>
        <w:rPr>
          <w:b/>
          <w:bCs/>
        </w:rP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>
          <w:b/>
          <w:bCs/>
        </w:rPr>
        <w:t xml:space="preserve">.</w:t>
      </w:r>
      <w:r>
        <w:t xml:space="preserve"> </w:t>
      </w:r>
      <w:r>
        <w:t xml:space="preserve">Вероятности состояний возрастают до максимального значения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≈</m:t>
        </m:r>
        <m:r>
          <m:t>0.2071</m:t>
        </m:r>
      </m:oMath>
      <w:r>
        <w:t xml:space="preserve">, после чего начинают уменьшаться. После заполнения полнодоступной части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новые запросы второго типа больше не принимаются, поэтому для состояний выше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распределение определяется только поступлением запросов первого типа. Сумма всех вероятностей равна 1, что подтверждает правильность нормировки.</w:t>
      </w:r>
    </w:p>
    <w:p>
      <w:pPr>
        <w:pStyle w:val="BodyText"/>
      </w:pPr>
      <w:r>
        <w:rPr>
          <w:b/>
          <w:bCs/>
        </w:rPr>
        <w:t xml:space="preserve">2. Вероятности блокировки.</w:t>
      </w:r>
      <w:r>
        <w:t xml:space="preserve"> </w:t>
      </w:r>
      <w:r>
        <w:t xml:space="preserve">Значение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0.0184</m:t>
        </m:r>
      </m:oMath>
      <w:r>
        <w:t xml:space="preserve">, то есть вероятность блокировки запроса первого типа составляет примерно</w:t>
      </w:r>
      <w:r>
        <w:t xml:space="preserve"> </w:t>
      </w:r>
      <m:oMath>
        <m:r>
          <m:t>1.84</m:t>
        </m:r>
        <m:r>
          <m:rPr>
            <m:sty m:val="p"/>
          </m:rPr>
          <m:t>%</m:t>
        </m:r>
      </m:oMath>
      <w:r>
        <w:t xml:space="preserve">. Первый тип блокируется только при полном заполнении всех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каналов. Значение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0.3750</m:t>
        </m:r>
      </m:oMath>
      <w:r>
        <w:t xml:space="preserve">, то есть вероятность блокировки запроса второго типа составляет примерно</w:t>
      </w:r>
      <w:r>
        <w:t xml:space="preserve"> </w:t>
      </w:r>
      <m:oMath>
        <m:r>
          <m:t>37.50</m:t>
        </m:r>
        <m:r>
          <m:rPr>
            <m:sty m:val="p"/>
          </m:rPr>
          <m:t>%</m:t>
        </m:r>
      </m:oMath>
      <w:r>
        <w:t xml:space="preserve">. Второй тип блокируется уже при занятости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и более каналов, так как не имеет доступа к зарезервированной части емкости.</w:t>
      </w:r>
    </w:p>
    <w:p>
      <w:pPr>
        <w:pStyle w:val="BodyText"/>
      </w:pPr>
      <w:r>
        <w:rPr>
          <w:b/>
          <w:bCs/>
        </w:rPr>
        <w:t xml:space="preserve">3. Среднее число запросов.</w:t>
      </w:r>
      <w:r>
        <w:t xml:space="preserve"> </w:t>
      </w:r>
      <w:r>
        <w:t xml:space="preserve">Получено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5.8013</m:t>
        </m:r>
      </m:oMath>
      <w:r>
        <w:t xml:space="preserve">. Это означает, что при заданных параметрах в системе в среднем одновременно обслуживается около 5.8 запроса. При общей емкости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средняя занятость системы составляет около</w:t>
      </w:r>
      <w:r>
        <w:t xml:space="preserve"> </w:t>
      </w:r>
      <m:oMath>
        <m:r>
          <m:t>58</m:t>
        </m:r>
        <m:r>
          <m:rPr>
            <m:sty m:val="p"/>
          </m:rPr>
          <m:t>%</m:t>
        </m:r>
      </m:oMath>
      <w:r>
        <w:t xml:space="preserve">.</w:t>
      </w:r>
    </w:p>
    <w:bookmarkEnd w:id="34"/>
    <w:bookmarkStart w:id="43" w:name="задание-3"/>
    <w:p>
      <w:pPr>
        <w:pStyle w:val="Heading1"/>
      </w:pPr>
      <w:r>
        <w:t xml:space="preserve">3. Задание 3</w:t>
      </w:r>
    </w:p>
    <w:p>
      <w:pPr>
        <w:pStyle w:val="FirstParagraph"/>
      </w:pPr>
      <w:r>
        <w:t xml:space="preserve">Для исследования зависимости вероятностей блокировки от интенсивности предложенной нагрузки первого типа значение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изменяется от 0 до 15 с шагом 0.1. Параметры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остаются постоянными.</w:t>
      </w:r>
    </w:p>
    <w:p>
      <w:pPr>
        <w:pStyle w:val="BodyText"/>
      </w:pPr>
      <w:r>
        <w:t xml:space="preserve">Для каждого значения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заново рассчитываются вероятности блокировки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после чего полученные значения сохраняются в списках</w:t>
      </w:r>
      <w:r>
        <w:t xml:space="preserve"> </w:t>
      </w:r>
      <w:r>
        <w:rPr>
          <w:rStyle w:val="VerbatimChar"/>
        </w:rPr>
        <w:t xml:space="preserve">E1_values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E2_values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6793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67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Расчет E1 и E2 при изменении нагрузки первого типа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42369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3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График зависимостей E1 и E2 от нагрузки первого типа</w:t>
            </w:r>
          </w:p>
          <w:bookmarkEnd w:id="42"/>
        </w:tc>
      </w:tr>
    </w:tbl>
    <w:p>
      <w:pPr>
        <w:pStyle w:val="BodyText"/>
      </w:pPr>
      <w:r>
        <w:t xml:space="preserve">С увеличением нагрузки первого типа система становится более загруженной, поэтому вероятность блокировки обоих типов увеличивается. Вероятность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на всем диапазоне выше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 поскольку запросы второго типа перестают приниматься уже после заполнения полнодоступной части</w:t>
      </w:r>
      <w:r>
        <w:t xml:space="preserve"> </w:t>
      </w:r>
      <m:oMath>
        <m:r>
          <m:t>g</m:t>
        </m:r>
      </m:oMath>
      <w:r>
        <w:t xml:space="preserve">, тогда как запросы первого типа могут использовать всю емкость</w:t>
      </w:r>
      <w:r>
        <w:t xml:space="preserve"> </w:t>
      </w:r>
      <m:oMath>
        <m:r>
          <m:t>C</m:t>
        </m:r>
      </m:oMath>
      <w:r>
        <w:t xml:space="preserve">. При больших значениях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система все чаще находится в состояниях с большим числом занятых каналов, поэтому обе вероятности блокировки возрастают.</w:t>
      </w:r>
    </w:p>
    <w:bookmarkEnd w:id="43"/>
    <w:bookmarkStart w:id="52" w:name="задание-4"/>
    <w:p>
      <w:pPr>
        <w:pStyle w:val="Heading1"/>
      </w:pPr>
      <w:r>
        <w:t xml:space="preserve">4. Задание 4</w:t>
      </w:r>
    </w:p>
    <w:p>
      <w:pPr>
        <w:pStyle w:val="FirstParagraph"/>
      </w:pPr>
      <w:r>
        <w:t xml:space="preserve">Для исследования зависимости среднего числа обслуживаемых запросов от интенсивности поступления запросов первого типа значение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изменяется от 0 до 15 с шагом 0.1. Остальные параметры системы остаются постоянными.</w:t>
      </w:r>
    </w:p>
    <w:p>
      <w:pPr>
        <w:pStyle w:val="BodyText"/>
      </w:pPr>
      <w:r>
        <w:t xml:space="preserve">Для каждого значения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рассчитывается среднее число запросов</w:t>
      </w:r>
      <w:r>
        <w:t xml:space="preserve"> </w:t>
      </w:r>
      <m:oMath>
        <m:r>
          <m:t>N</m:t>
        </m:r>
      </m:oMath>
      <w:r>
        <w:t xml:space="preserve">, после чего полученные значения сохраняются в списке</w:t>
      </w:r>
      <w:r>
        <w:t xml:space="preserve"> </w:t>
      </w:r>
      <w:r>
        <w:rPr>
          <w:rStyle w:val="VerbatimChar"/>
        </w:rPr>
        <w:t xml:space="preserve">N_values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2015636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5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Расчет среднего числа запросов N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2494818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4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График зависимости среднего числа запросов от lambda1</w:t>
            </w:r>
          </w:p>
          <w:bookmarkEnd w:id="51"/>
        </w:tc>
      </w:tr>
    </w:tbl>
    <w:p>
      <w:pPr>
        <w:pStyle w:val="BodyText"/>
      </w:pPr>
      <w:r>
        <w:t xml:space="preserve">Среднее число обслуживаемых запросов увеличивается с ростом интенсивности поступления запросов первого типа. При малой интенсивности система большую часть времени имеет свободную емкость, поэтому рост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приводит к заметному увеличению</w:t>
      </w:r>
      <w:r>
        <w:t xml:space="preserve"> </w:t>
      </w:r>
      <m:oMath>
        <m:r>
          <m:t>N</m:t>
        </m:r>
      </m:oMath>
      <w:r>
        <w:t xml:space="preserve">. При больших значениях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рост среднего числа запросов замедляется, поскольку число одновременно обслуживаемых запросов не может превышать общую емкость системы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52"/>
    <w:bookmarkStart w:id="53" w:name="вывод"/>
    <w:p>
      <w:pPr>
        <w:pStyle w:val="Heading1"/>
      </w:pPr>
      <w:r>
        <w:t xml:space="preserve">5. Вывод</w:t>
      </w:r>
    </w:p>
    <w:p>
      <w:pPr>
        <w:pStyle w:val="FirstParagraph"/>
      </w:pPr>
      <w:r>
        <w:t xml:space="preserve">В ходе лабораторной работы была исследована неполнодоступная двухсервисная модель Эрланга с одинаковыми интенсивностями обслуживания и зарезервированной емкостью.</w:t>
      </w:r>
    </w:p>
    <w:p>
      <w:pPr>
        <w:pStyle w:val="BodyText"/>
      </w:pPr>
      <w:r>
        <w:t xml:space="preserve">Для заданных параметров были рассчитаны стационарное распределение вероятностей, вероятности блокировки запросов первого и второго типов и среднее число обслуживаемых запросов. Результаты показывают, что резервирование части емкости для запросов первого типа существенно уменьшает вероятность их блокировки, но одновременно увеличивает вероятность блокировки запросов второго типа.</w:t>
      </w:r>
    </w:p>
    <w:p>
      <w:pPr>
        <w:pStyle w:val="BodyText"/>
      </w:pPr>
      <w:r>
        <w:t xml:space="preserve">При увеличении нагрузки первого типа вероятности блокировки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возрастают. Среднее число обслуживаемых запросов также увеличивается с ростом интенсивности поступления и при большой нагрузке приближается к максимальной емкости системы</w:t>
      </w:r>
      <w:r>
        <w:t xml:space="preserve"> </w:t>
      </w:r>
      <m:oMath>
        <m:r>
          <m:t>C</m:t>
        </m:r>
      </m:oMath>
      <w:r>
        <w:t xml:space="preserve">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Иванов Сергей Владимирович, НПИбд-01-23</dc:creator>
  <dc:language>ru-RU</dc:language>
  <cp:keywords/>
  <dcterms:created xsi:type="dcterms:W3CDTF">2026-10-03T09:58:51Z</dcterms:created>
  <dcterms:modified xsi:type="dcterms:W3CDTF">2026-10-03T09:58:51Z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Дисциплина: Основы проектирования сетей и систем телекоммуникаций</vt:lpwstr>
  </property>
  <property fmtid="{D5CDD505-2E9C-101B-9397-08002B2CF9AE}" pid="13" name="institutes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subtitle">
    <vt:lpwstr>Неполнодоступная двухсервисная модель Эрланга с одинаковыми интенсивностями обслуживания и зарезервированной емкостью</vt:lpwstr>
  </property>
  <property fmtid="{D5CDD505-2E9C-101B-9397-08002B2CF9AE}" pid="17" name="toc-title">
    <vt:lpwstr>Содержание</vt:lpwstr>
  </property>
</Properties>
</file>