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Сетевые</w:t>
      </w:r>
      <w:r>
        <w:t xml:space="preserve"> </w:t>
      </w:r>
      <w:r>
        <w:t xml:space="preserve">технологии</w:t>
      </w:r>
    </w:p>
    <w:p>
      <w:pPr>
        <w:pStyle w:val="Author"/>
      </w:pPr>
      <w:r>
        <w:t xml:space="preserve">Иванов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 данной работы — изучение принципов технологий Ethernet и Fast Ethernet</w:t>
      </w:r>
      <w:r>
        <w:t xml:space="preserve"> </w:t>
      </w:r>
      <w:r>
        <w:t xml:space="preserve">и практическое освоение методик оценки работоспособности сети, построенной</w:t>
      </w:r>
      <w:r>
        <w:t xml:space="preserve"> </w:t>
      </w:r>
      <w:r>
        <w:t xml:space="preserve">на базе технологии Fast Ethernet.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Требуется оценить работоспособность 100-мегабитной сети Fast Ethernet в соответствии с первой и второй моделями.</w:t>
      </w:r>
    </w:p>
    <w:bookmarkEnd w:id="21"/>
    <w:bookmarkStart w:id="2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оценки работоспособности сети в соответствии с первой моделью, необходимо взять самые удаленные пути между двумя узлами домена коллизий. Необходимо сложить их и сравнить с предельно допустимым диаметром домена коллизий в Fast Ethernet при наличии двух повторителей класса II (все сегменты TX). Это значение составляет 205. Видим, что работоспособными являются сети 1, 3 и 4. (рис. 1)</w:t>
      </w:r>
    </w:p>
    <w:p>
      <w:pPr>
        <w:pStyle w:val="CaptionedFigure"/>
      </w:pPr>
      <w:r>
        <w:drawing>
          <wp:inline>
            <wp:extent cx="3733800" cy="2804517"/>
            <wp:effectExtent b="0" l="0" r="0" t="0"/>
            <wp:docPr descr="Рассчет по первой модели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4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Рассчет по первой модели</w:t>
      </w:r>
    </w:p>
    <w:p>
      <w:pPr>
        <w:pStyle w:val="BodyText"/>
      </w:pPr>
      <w:r>
        <w:t xml:space="preserve">Для оценки работоспособности сети в соответствии со второй моделью, выполняем аналогичные действия, только диаметр домена коллизий и количество сегментов в нём ограничены временем двойного оборота, необходимым для правильной работы механизма</w:t>
      </w:r>
      <w:r>
        <w:t xml:space="preserve"> </w:t>
      </w:r>
      <w:r>
        <w:t xml:space="preserve">обнаружения и разрешения коллизий для вычисления времени двойного оборота нужно умножить длину сегмента</w:t>
      </w:r>
      <w:r>
        <w:t xml:space="preserve"> </w:t>
      </w:r>
      <w:r>
        <w:t xml:space="preserve">на величину удельного времени двойного оборота соответствующего сегмента.</w:t>
      </w:r>
      <w:r>
        <w:t xml:space="preserve"> </w:t>
      </w:r>
      <w:r>
        <w:t xml:space="preserve">Определив времена двойного оборота для всех сегментов наихудшего пути,</w:t>
      </w:r>
      <w:r>
        <w:t xml:space="preserve"> </w:t>
      </w:r>
      <w:r>
        <w:t xml:space="preserve">к ним нужно прибавить задержку, вносимую парой оконечных узлов и повторителями. Для учёта непредвиденных задержек к полученному результату</w:t>
      </w:r>
      <w:r>
        <w:t xml:space="preserve"> </w:t>
      </w:r>
      <w:r>
        <w:t xml:space="preserve">рекомендуется добавить ещё 4 битовых интервала (би) и сравнить результат</w:t>
      </w:r>
      <w:r>
        <w:t xml:space="preserve"> </w:t>
      </w:r>
      <w:r>
        <w:t xml:space="preserve">с числом 512. Если полученный результат не превышает 512 би, то сеть считается</w:t>
      </w:r>
      <w:r>
        <w:t xml:space="preserve"> </w:t>
      </w:r>
      <w:r>
        <w:t xml:space="preserve">работоспособной.</w:t>
      </w:r>
    </w:p>
    <w:p>
      <w:pPr>
        <w:pStyle w:val="BodyText"/>
      </w:pPr>
      <w:r>
        <w:t xml:space="preserve">Работоспособными являются сети 1, 3 и 4. (рис. 2)</w:t>
      </w:r>
    </w:p>
    <w:p>
      <w:pPr>
        <w:pStyle w:val="CaptionedFigure"/>
      </w:pPr>
      <w:r>
        <w:drawing>
          <wp:inline>
            <wp:extent cx="3733800" cy="2048872"/>
            <wp:effectExtent b="0" l="0" r="0" t="0"/>
            <wp:docPr descr="Рассчет по второй модели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8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Рассчет по второй модели</w:t>
      </w:r>
    </w:p>
    <w:bookmarkEnd w:id="28"/>
    <w:bookmarkStart w:id="2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рамках лабораторной работы мы оценили работоспособность 100-мегабитной сети Fast Ethernet в соответствии с первой и второй моделями.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№2</dc:title>
  <dc:creator>Иванов Сергей Владимирович</dc:creator>
  <dc:language>ru-RU</dc:language>
  <cp:keywords/>
  <dcterms:created xsi:type="dcterms:W3CDTF">2025-09-18T10:12:12Z</dcterms:created>
  <dcterms:modified xsi:type="dcterms:W3CDTF">2025-09-18T10:12:12Z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Дисциплина: Сетевые технологии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