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Calibri" w:hAnsi="Calibri" w:eastAsia="Calibri"/>
          <w:b/>
          <w:i w:val="0"/>
          <w:color w:val="1F4E79"/>
          <w:sz w:val="32"/>
        </w:rPr>
        <w:t>РЕГЛАМЕНТ ДОЛЖНОСТИ</w:t>
      </w:r>
    </w:p>
    <w:p>
      <w:pPr>
        <w:spacing w:before="0" w:after="200" w:line="276" w:lineRule="auto"/>
        <w:jc w:val="center"/>
      </w:pPr>
      <w:r>
        <w:rPr>
          <w:rFonts w:ascii="Calibri" w:hAnsi="Calibri" w:eastAsia="Calibri"/>
          <w:b/>
          <w:i w:val="0"/>
          <w:color w:val="203864"/>
          <w:sz w:val="36"/>
        </w:rPr>
        <w:t>Заместитель директора по административным вопросам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E0"/>
          <w:left w:val="single" w:sz="6" w:space="0" w:color="C8D2E0"/>
          <w:bottom w:val="single" w:sz="6" w:space="0" w:color="C8D2E0"/>
          <w:right w:val="single" w:sz="6" w:space="0" w:color="C8D2E0"/>
          <w:insideH w:val="single" w:sz="6" w:space="0" w:color="C8D2E0"/>
          <w:insideV w:val="single" w:sz="6" w:space="0" w:color="C8D2E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pPr>
              <w:spacing w:before="0" w:after="0" w:line="240" w:lineRule="auto"/>
            </w:pPr>
            <w:r>
              <w:t>Код регламента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40" w:lineRule="auto"/>
            </w:pPr>
            <w:r>
              <w:t>REG_ADM_ZAMADM_V1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pPr>
              <w:spacing w:before="0" w:after="0" w:line="240" w:lineRule="auto"/>
            </w:pPr>
            <w:r>
              <w:t>Версия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40" w:lineRule="auto"/>
            </w:pPr>
            <w:r>
              <w:t>V1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pPr>
              <w:spacing w:before="0" w:after="0" w:line="240" w:lineRule="auto"/>
            </w:pPr>
            <w:r>
              <w:t>Подразделение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40" w:lineRule="auto"/>
            </w:pPr>
            <w:r>
              <w:t>7-е управление / административный блок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pPr>
              <w:spacing w:before="0" w:after="0" w:line="240" w:lineRule="auto"/>
            </w:pPr>
            <w:r>
              <w:t>Статус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40" w:lineRule="auto"/>
            </w:pPr>
            <w:r>
              <w:t>Типовой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pPr>
              <w:spacing w:before="0" w:after="0" w:line="240" w:lineRule="auto"/>
            </w:pPr>
            <w:r>
              <w:t>Должность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40" w:lineRule="auto"/>
            </w:pPr>
            <w:r>
              <w:t>Заместитель директора по административным вопросам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pPr>
              <w:spacing w:before="0" w:after="0" w:line="240" w:lineRule="auto"/>
            </w:pPr>
            <w:r>
              <w:t>Дата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40" w:lineRule="auto"/>
            </w:pPr>
            <w:r>
              <w:t>20.03.2026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pPr>
              <w:spacing w:before="0" w:after="0" w:line="240" w:lineRule="auto"/>
            </w:pPr>
            <w:r>
              <w:t>Область применения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40" w:lineRule="auto"/>
            </w:pPr>
            <w:r>
              <w:t>Административно-хозяйственное обеспечение, сервисные функции, внутренний порядок, ресурсы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pPr>
              <w:spacing w:before="0" w:after="0" w:line="240" w:lineRule="auto"/>
            </w:pPr>
            <w:r>
              <w:t>Основание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40" w:lineRule="auto"/>
            </w:pPr>
            <w:r>
              <w:t>По структуре регламента директора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AFC3D9"/>
          <w:left w:val="single" w:sz="8" w:space="0" w:color="AFC3D9"/>
          <w:bottom w:val="single" w:sz="8" w:space="0" w:color="AFC3D9"/>
          <w:right w:val="single" w:sz="8" w:space="0" w:color="AFC3D9"/>
          <w:insideH w:val="single" w:sz="8" w:space="0" w:color="AFC3D9"/>
          <w:insideV w:val="single" w:sz="8" w:space="0" w:color="AFC3D9"/>
        </w:tblBorders>
      </w:tblPr>
      <w:tblGrid>
        <w:gridCol w:w="9973"/>
      </w:tblGrid>
      <w:tr>
        <w:tc>
          <w:tcPr>
            <w:tcW w:type="dxa" w:w="9973"/>
            <w:shd w:fill="F4F8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F4E79"/>
                <w:sz w:val="22"/>
              </w:rPr>
              <w:t>Назначение должности. Обеспечивать директору и подразделениям устойчивую административно-хозяйственную опору: ресурсы, сервис, условия труда, заявки, договоры и внутренний порядок должны работать как управляемая система, а не как набор разрозненных реакций на проблемы.</w:t>
            </w:r>
          </w:p>
        </w:tc>
      </w:tr>
    </w:tbl>
    <w:p/>
    <w:p>
      <w:pPr>
        <w:pStyle w:val="Heading1"/>
        <w:keepNext/>
      </w:pPr>
      <w:r>
        <w:t>1. Общие положения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Заместитель директора по административным вопросам относится к административному контуру 7-го управления и обеспечивает управляемость административно-хозяйственного блока организации.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Должность подчиняется непосредственно директору и координирует работу обеспечивающих функций в пределах утверждённой организационной структуры и делегированных полномочий.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Сотрудник действует в пределах настоящего регламента, внутренних политик, бюджетных лимитов, требований безопасности, договорной дисциплины и утверждённого порядка административного обеспечения.</w:t>
      </w:r>
    </w:p>
    <w:p>
      <w:pPr>
        <w:pStyle w:val="Heading1"/>
        <w:keepNext/>
      </w:pPr>
      <w:r>
        <w:t>2. Цель должности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Обеспечить бесперебойную, экономичную и предсказуемую работу административно-хозяйственного контура, чтобы директор и профильные подразделения могли выполнять основные задачи без сбоев из-за ресурсов, инфраструктуры, сервиса или организационного беспорядка.</w:t>
      </w:r>
    </w:p>
    <w:p>
      <w:pPr>
        <w:pStyle w:val="Heading1"/>
        <w:keepNext/>
      </w:pPr>
      <w:r>
        <w:t>3. Ключевые результаты должности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Административные, хозяйственные и обеспечивающие процессы работают без критических срывов, простоев и неуправляемых затрат.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Рабочие места, помещения, сервисные функции, снабжение и внутренний порядок находятся в состоянии, достаточном для стабильной работы подразделений.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Заявки, договоры, закупки, ремонты, перемещения ресурсов и организационные поручения проходят в понятном статусе и в нормативные сроки.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Директор получает прозрачную картину по административным рискам, расходам, обеспеченности и дисциплине исполнения.</w:t>
      </w:r>
    </w:p>
    <w:p>
      <w:pPr>
        <w:pStyle w:val="Heading1"/>
        <w:keepNext/>
      </w:pPr>
      <w:r>
        <w:t>4. Зоны ответственности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Организация административно-хозяйственного обеспечения: помещения, рабочие места, хозяйственные нужды, сервисная инфраструктура, офисная среда и условия труда.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Координация снабжения, закупочных потребностей, заявок на ресурсы, инвентаря, расходных материалов и движения материальных ценностей в пределах установленного порядка.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Контроль административной дисциплины: исполнение поручений, соблюдение регламентов внутреннего сервиса, сроков, маршрутов согласования и качества обеспечивающих процессов.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Взаимодействие с подрядчиками, сервисными службами, арендодателями, коммунальными и техническими исполнителями по вопросам административного сопровождения.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Подготовка для директора управленческой информации по расходам, рискам, загрузке обеспечивающих служб, узким местам и предложениям по улучшению.</w:t>
      </w:r>
    </w:p>
    <w:p>
      <w:pPr>
        <w:pStyle w:val="Heading1"/>
        <w:keepNext/>
      </w:pPr>
      <w:r>
        <w:t>5. Регулярный цикл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pPr>
              <w:spacing w:before="0" w:after="0" w:line="240" w:lineRule="auto"/>
              <w:jc w:val="center"/>
            </w:pPr>
            <w:r>
              <w:t>Период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pPr>
              <w:spacing w:before="0" w:after="0" w:line="240" w:lineRule="auto"/>
              <w:jc w:val="center"/>
            </w:pPr>
            <w:r>
              <w:t>Основные действия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pPr>
              <w:spacing w:before="0" w:after="0" w:line="240" w:lineRule="auto"/>
              <w:jc w:val="center"/>
            </w:pPr>
            <w:r>
              <w:t>Результат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t>Ежедневно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t>Контроль критических заявок; координация обеспечивающих служб; решение срочных хозяйственных и организационных вопросов; мониторинг сбоев и эскалаций.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t>Подразделения не останавливаются из-за административных причин, критические вопросы быстро берутся в работу.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t>Еженедельно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t>Сверка статусов заявок и поручений; контроль подрядчиков и сервисных задач; анализ текущих расходов и проблемных участков; доклад директору по административным рискам.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t>Есть прозрачная картина по обеспечению, срокам, проблемам и необходимым решениям на ближайшую неделю.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t>Ежемесячно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t>План-факт анализ административных расходов; ревизия повторяющихся сбоев; корректировка приоритетов, договорной нагрузки и правил внутреннего сервиса.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t>Административный контур становится более экономичным, предсказуемым и управляемым, узкие места фиксируются и устраняются.</w:t>
            </w:r>
          </w:p>
        </w:tc>
      </w:tr>
    </w:tbl>
    <w:p>
      <w:r/>
    </w:p>
    <w:p>
      <w:pPr>
        <w:pStyle w:val="Heading1"/>
        <w:keepNext/>
      </w:pPr>
      <w:r>
        <w:t>6. Ценный конечный продукт (ЦКП)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Стабильно работающий административно-хозяйственный контур, в котором ресурсы, помещения, сервисы, заявки, договоры и внутренний порядок находятся под управлением, а основные подразделения не теряют время и результат из-за организационных и обеспечивающих сбоев.</w:t>
      </w:r>
    </w:p>
    <w:p>
      <w:pPr>
        <w:pStyle w:val="Heading1"/>
        <w:keepNext/>
      </w:pPr>
      <w:r>
        <w:t>7. KPI должности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pPr>
              <w:spacing w:before="0" w:after="0" w:line="240" w:lineRule="auto"/>
              <w:jc w:val="center"/>
            </w:pPr>
            <w:r>
              <w:t>№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pPr>
              <w:spacing w:before="0" w:after="0" w:line="240" w:lineRule="auto"/>
              <w:jc w:val="center"/>
            </w:pPr>
            <w:r>
              <w:t>Показатель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pPr>
              <w:spacing w:before="0" w:after="0" w:line="240" w:lineRule="auto"/>
              <w:jc w:val="center"/>
            </w:pPr>
            <w:r>
              <w:t>Как измеряется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pPr>
              <w:spacing w:before="0" w:after="0" w:line="240" w:lineRule="auto"/>
              <w:jc w:val="center"/>
            </w:pPr>
            <w:r>
              <w:t>Целевой ориентир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t>1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t>Непрерывность административного обеспечения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t>Количество критических срывов, остановивших работу подразделений по административной причине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t>0 критических срывов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t>2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t>Своевременность исполнения заявок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t>Доля приоритетных административных заявок, исполненных в нормативный срок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t>не ниже 90%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t>3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t>Бюджетная дисциплина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t>Отклонение фактических административных расходов от согласованного плана в зоне управляемых статей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t>в пределах утверждённых лимитов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t>4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t>Прозрачность контроля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t>Доля заявок, поручений и обеспечивающих задач с актуальным статусом и ответственным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t>не ниже 95%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t>5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t>Качество внутреннего сервиса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t>Оценка удовлетворённости внутренних подразделений по ключевым сервисным функциям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t>стабильно положительная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1F4E79"/>
          <w:sz w:val="21"/>
        </w:rPr>
        <w:t>Принцип связности KPI: выходные метрики административного блока становятся входным условием для результативности директора, кадрового контура, маркетинга, бухгалтерии и производственных подразделений.</w:t>
      </w:r>
    </w:p>
    <w:p>
      <w:pPr>
        <w:pStyle w:val="Heading1"/>
        <w:keepNext/>
      </w:pPr>
      <w:r>
        <w:t>8. Полномочия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Запрашивать у подразделений заявки, обоснования, статусы, акты, планы потребностей и иную информацию, необходимую для административного обеспечения.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Возвращать документы, заявки и материалы на доработку при нарушении формы, комплектности, лимитов, маршрута согласования или сроков подачи.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Инициировать перераспределение административных задач, корректирующие меры, служебные напоминания и эскалацию по просроченным обеспечивающим вопросам.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Представлять директору предложения по оптимизации расходов, сервисных процессов, подрядчиков, правил внутреннего сервиса и организационного порядка.</w:t>
      </w:r>
    </w:p>
    <w:p>
      <w:pPr>
        <w:pStyle w:val="Heading1"/>
        <w:keepNext/>
      </w:pPr>
      <w:r>
        <w:t>9. Ответственность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За срывы административно-хозяйственного обеспечения, вызванные отсутствием контроля, несвоевременными решениями, ошибками в заявках, договорах, координации или исполнении.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За неэффективное использование ресурсов, непрозрачность статусов, нарушения бюджетной дисциплины в зоне полномочий и несвоевременное информирование директора о рисках.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За нарушение правил безопасности, хранения имущества, документооборота, конфиденциальности и внутренних регламентов административного блока.</w:t>
      </w:r>
    </w:p>
    <w:p>
      <w:pPr>
        <w:pStyle w:val="Heading1"/>
        <w:keepNext/>
      </w:pPr>
      <w:r>
        <w:t>10. Требования к квалификации и опыту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Высшее образование по направлениям: управление, экономика, государственное и муниципальное управление, юриспруденция, инженерно-технические или административные специальности.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Опыт руководящей или координаторской работы в административно-хозяйственном, операционном или обеспечивающем контуре не менее 3 лет; для сложных структур — от 5 лет.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Навыки бюджетирования, деловой переписки, договорной работы, ведения заявок, контроля сроков, взаимодействия с подрядчиками и координации нескольких потоков задач одновременно.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Уверенное владение офисными пакетами, таблицами, календарями, системами документооборота и отчётности; развитые навыки деловой коммуникации и организационного контроля.</w:t>
      </w:r>
    </w:p>
    <w:p>
      <w:pPr>
        <w:pStyle w:val="Heading1"/>
        <w:keepNext/>
      </w:pPr>
      <w:r>
        <w:t>11. Рабочий стиль и предпочтительный психотип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Для должности наиболее продуктивен профиль, сочетающий системность, требовательность к порядку, устойчивость к многозадачности и практическую ориентацию на результат. Обычно лучше подходят типы из управленческо-административного контура: ESTJ, ISTJ, ENTJ.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Психологически важны: исполнительская жёсткость без хаотичности, умение держать рамку сервиса, способность быстро выявлять узкие места, вести контроль по срокам и спокойно работать с операционными инцидентами.</w:t>
      </w:r>
    </w:p>
    <w:p>
      <w:pPr>
        <w:pStyle w:val="Heading1"/>
        <w:keepNext/>
      </w:pPr>
      <w:r>
        <w:t>12. Основные рабочие артефакты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План административных работ, заявок и поручений с приоритетами и сроками.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Реестр заявок подразделений, статусов исполнения и проблемных точек.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Бюджетные и расходные сводки по административно-хозяйственному обеспечению.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Папка договоров, актов, заявок, служебных записок и регламентов внутреннего сервиса.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Перечень активов, помещений, сервисных потребностей и корректирующих мероприятий.</w:t>
      </w:r>
    </w:p>
    <w:p>
      <w:r/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1F4E79"/>
          <w:sz w:val="24"/>
        </w:rPr>
        <w:t>Согласование и актуализация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pPr>
              <w:spacing w:before="0" w:after="0" w:line="240" w:lineRule="auto"/>
              <w:jc w:val="center"/>
            </w:pPr>
            <w:r>
              <w:t>Роль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pPr>
              <w:spacing w:before="0" w:after="0" w:line="240" w:lineRule="auto"/>
              <w:jc w:val="center"/>
            </w:pPr>
            <w:r>
              <w:t>ФИО / подпись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pPr>
              <w:spacing w:before="0" w:after="0" w:line="240" w:lineRule="auto"/>
              <w:jc w:val="center"/>
            </w:pPr>
            <w:r>
              <w:t>Примечание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t>Директор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t>__________________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t>Утверждает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t>Руководитель кадрового контура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t>__________________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t>Согласует профиль должности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B7C93"/>
        <w:sz w:val="18"/>
      </w:rPr>
      <w:t>ММЦ • 7-е управление • Административный блок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6B7C93"/>
        <w:sz w:val="18"/>
      </w:rPr>
      <w:t>Типовой регламент должности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