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Calibri" w:hAnsi="Calibri" w:eastAsia="Calibri"/>
          <w:b/>
          <w:i w:val="0"/>
          <w:color w:val="1F4E79"/>
          <w:sz w:val="32"/>
        </w:rPr>
        <w:t>РЕГЛАМЕНТ ДОЛЖНОСТИ</w:t>
      </w:r>
    </w:p>
    <w:p>
      <w:pPr>
        <w:spacing w:before="0" w:after="200" w:line="276" w:lineRule="auto"/>
        <w:jc w:val="center"/>
      </w:pPr>
      <w:r>
        <w:rPr>
          <w:rFonts w:ascii="Calibri" w:hAnsi="Calibri" w:eastAsia="Calibri"/>
          <w:b/>
          <w:i w:val="0"/>
          <w:color w:val="203864"/>
          <w:sz w:val="36"/>
        </w:rPr>
        <w:t>Менеджер по продажам (SALES_MANAGER)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8D2E0"/>
          <w:left w:val="single" w:sz="6" w:space="0" w:color="C8D2E0"/>
          <w:bottom w:val="single" w:sz="6" w:space="0" w:color="C8D2E0"/>
          <w:right w:val="single" w:sz="6" w:space="0" w:color="C8D2E0"/>
          <w:insideH w:val="single" w:sz="6" w:space="0" w:color="C8D2E0"/>
          <w:insideV w:val="single" w:sz="6" w:space="0" w:color="C8D2E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B"/>
          </w:tcPr>
          <w:p>
            <w:r/>
            <w:r>
              <w:t>Код регламента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REG_SALES_MGR_V1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B"/>
          </w:tcPr>
          <w:p>
            <w:r/>
            <w:r>
              <w:t>Версия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t>V1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B"/>
          </w:tcPr>
          <w:p>
            <w:r/>
            <w:r>
              <w:t>Подразделение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t>Отдел продаж / коммерческий блок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B"/>
          </w:tcPr>
          <w:p>
            <w:r/>
            <w:r>
              <w:t>Статус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t>Типовой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B"/>
          </w:tcPr>
          <w:p>
            <w:r/>
            <w:r>
              <w:t>Должность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t>Менеджер по продажам (SALES_MANAGER)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B"/>
          </w:tcPr>
          <w:p>
            <w:r/>
            <w:r>
              <w:t>Дата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t>20.03.2026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B"/>
          </w:tcPr>
          <w:p>
            <w:r/>
            <w:r>
              <w:t>Область применения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t>Лиды, воронка продаж, переговоры, сделки, CRM, передача в исполнение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B"/>
          </w:tcPr>
          <w:p>
            <w:r/>
            <w:r>
              <w:t>Основание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/>
            <w:r>
              <w:t>По структуре регламента директора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AFC3D9"/>
          <w:left w:val="single" w:sz="8" w:space="0" w:color="AFC3D9"/>
          <w:bottom w:val="single" w:sz="8" w:space="0" w:color="AFC3D9"/>
          <w:right w:val="single" w:sz="8" w:space="0" w:color="AFC3D9"/>
          <w:insideH w:val="single" w:sz="8" w:space="0" w:color="AFC3D9"/>
          <w:insideV w:val="single" w:sz="8" w:space="0" w:color="AFC3D9"/>
        </w:tblBorders>
      </w:tblPr>
      <w:tblGrid>
        <w:gridCol w:w="9973"/>
      </w:tblGrid>
      <w:tr>
        <w:tc>
          <w:tcPr>
            <w:tcW w:type="dxa" w:w="9973"/>
            <w:shd w:fill="F4F8FC"/>
          </w:tcPr>
          <w:p>
            <w:r>
              <w:t>Назначение должности. Обеспечивать управляемый и повторяемый процесс продаж: каждый лид должен быть взят в работу, квалифицирован, переведён к следующему шагу, доведён до сделки и отражён в CRM так, чтобы компания получала выручку, а руководитель — прозрачный прогноз и статус по клиентскому потоку.</w:t>
            </w:r>
          </w:p>
        </w:tc>
      </w:tr>
    </w:tbl>
    <w:p/>
    <w:p>
      <w:pPr>
        <w:pStyle w:val="Heading1"/>
        <w:keepNext/>
      </w:pPr>
      <w:r>
        <w:t>1. Общие положения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Менеджер по продажам относится к коммерческому контуру организации и обеспечивает выполнение плана продаж по закреплённым продуктам, услугам, клиентским сегментам или территориям.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Должность подчиняется руководителю отдела продаж, коммерческому руководителю либо иному уполномоченному руководителю сбытового блока.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Сотрудник действует в пределах настоящего регламента, коммерческой политики, правил работы с клиентской базой, ценовой и скидочной матрицы, стандартов коммуникации и порядка ведения CRM.</w:t>
      </w:r>
    </w:p>
    <w:p>
      <w:pPr>
        <w:pStyle w:val="Heading1"/>
        <w:keepNext/>
      </w:pPr>
      <w:r>
        <w:t>2. Цель должности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Обеспечивать предсказуемый поток выручки за счёт своевременной обработки лидов, качественной квалификации клиентов, системного ведения воронки продаж и доведения сделок до оплаты и передачи в исполнение без потери клиента и без коммерческого хаоса.</w:t>
      </w:r>
    </w:p>
    <w:p>
      <w:pPr>
        <w:pStyle w:val="Heading1"/>
        <w:keepNext/>
      </w:pPr>
      <w:r>
        <w:t>3. Ключевые результаты должности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План продаж по своей зоне ответственности выполняется в согласованный период за счёт управляемой воронки, а не случайных разовых сделок.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Все входящие и исходящие лиды берутся в работу вовремя, не теряются и проходят прозрачные этапы квалификации, предложения и закрытия.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Коммерческие предложения, расчёты, переговоры, договорённости и статусы сделок фиксируются корректно и доступны для контроля руководителю.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Клиенты получают профессиональную коммуникацию, понятные условия сделки, своевременную обратную связь и корректную передачу заказа в дальнейшее исполнение.</w:t>
      </w:r>
    </w:p>
    <w:p>
      <w:pPr>
        <w:pStyle w:val="Heading1"/>
        <w:keepNext/>
      </w:pPr>
      <w:r>
        <w:t>4. Зоны ответственности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Поиск, приём и первичная обработка лидов из входящих и исходящих каналов: звонки, мессенджеры, почта, сайт, рекомендации, маркетинговые источники.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Квалификация клиента: выявление потребности, бюджета, сроков, полномочий на принятие решения, приоритетности и вероятности сделки.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Подготовка и представление коммерческих предложений, расчётов, презентаций, вариантов условий, согласование цены и маршрута сделки в пределах утверждённых правил.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Ведение переговоров, контроль следующего шага по каждой сделке, работа с возражениями, сопровождение до оплаты, подписания документов и передачи в исполнение.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Ведение CRM, клиентской базы, прогноза продаж, отчётности по воронке, причинам отказов, повторным продажам и точкам роста по клиентскому сегменту.</w:t>
      </w:r>
    </w:p>
    <w:p>
      <w:pPr>
        <w:pStyle w:val="Heading1"/>
        <w:keepNext/>
      </w:pPr>
      <w:r>
        <w:t>5. Регулярный цикл работы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D3E2"/>
          <w:left w:val="single" w:sz="6" w:space="0" w:color="C7D3E2"/>
          <w:bottom w:val="single" w:sz="6" w:space="0" w:color="C7D3E2"/>
          <w:right w:val="single" w:sz="6" w:space="0" w:color="C7D3E2"/>
          <w:insideH w:val="single" w:sz="6" w:space="0" w:color="C7D3E2"/>
          <w:insideV w:val="single" w:sz="6" w:space="0" w:color="C7D3E2"/>
        </w:tblBorders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r>
              <w:t>Период</w:t>
            </w:r>
          </w:p>
        </w:tc>
        <w:tc>
          <w:tcPr>
            <w:tcW w:type="dxa" w:w="38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r>
              <w:t>Основные действия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r>
              <w:t>Результат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Ежедневно</w:t>
            </w:r>
          </w:p>
        </w:tc>
        <w:tc>
          <w:tcPr>
            <w:tcW w:type="dxa" w:w="38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Обработка новых лидов и обращений; звонки и переписка с клиентами; проведение квалификации; подготовка предложений; фиксация следующего шага и обновление CRM.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Ни один лид не теряется, по активным сделкам есть движение, клиент получает своевременную реакцию и понятный следующий шаг.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Еженедельно</w:t>
            </w:r>
          </w:p>
        </w:tc>
        <w:tc>
          <w:tcPr>
            <w:tcW w:type="dxa" w:w="38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Разбор воронки и приоритетных сделок; сверка плана и факта; анализ отказов и зависших этапов; координация со смежными подразделениями по текущим клиентам.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Руководитель видит реальный прогноз, узкие места в продажах вскрываются заранее, вероятность выполнения плана становится управляемой.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Ежемесячно</w:t>
            </w:r>
          </w:p>
        </w:tc>
        <w:tc>
          <w:tcPr>
            <w:tcW w:type="dxa" w:w="38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План-факт анализ продаж, конверсии и средней выручки; очистка и сегментация клиентской базы; пересмотр активности, подходов, скриптов и точек роста по сегментам.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Продажи становятся более предсказуемыми, база клиентов качественнее, а повторяемые причины потери сделок фиксируются и устраняются.</w:t>
            </w:r>
          </w:p>
        </w:tc>
      </w:tr>
    </w:tbl>
    <w:p>
      <w:r/>
    </w:p>
    <w:p>
      <w:pPr>
        <w:pStyle w:val="Heading1"/>
        <w:keepNext/>
      </w:pPr>
      <w:r>
        <w:t>6. Ценный конечный продукт (ЦКП)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Закрытые и оплаченные сделки с подходящими клиентами в целевом объёме, сроках и коммерческих условиях, при этом вся воронка продаж прозрачна, лиды не теряются, а руководитель видит реальный прогноз выручки и загрузки.</w:t>
      </w:r>
    </w:p>
    <w:p>
      <w:pPr>
        <w:pStyle w:val="Heading1"/>
        <w:keepNext/>
      </w:pPr>
      <w:r>
        <w:t>7. KPI должности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D3E2"/>
          <w:left w:val="single" w:sz="6" w:space="0" w:color="C7D3E2"/>
          <w:bottom w:val="single" w:sz="6" w:space="0" w:color="C7D3E2"/>
          <w:right w:val="single" w:sz="6" w:space="0" w:color="C7D3E2"/>
          <w:insideH w:val="single" w:sz="6" w:space="0" w:color="C7D3E2"/>
          <w:insideV w:val="single" w:sz="6" w:space="0" w:color="C7D3E2"/>
        </w:tblBorders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5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r>
              <w:t>№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r>
              <w:t>Показатель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r>
              <w:t>Как измеряется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r>
              <w:t>Целевой ориентир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1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Выполнение плана продаж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Факт выручки или валовой прибыли к утверждённому индивидуальному плану за период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не ниже 100% плана или по целевому коридору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Скорость реакции на лид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Среднее время первого контакта по входящим обращениям в рабочее время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в пределах установленного норматива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3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Конверсия по воронке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Доля перехода лидов из квалификации в предложение и из предложения в закрытую сделку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не ниже утверждённого ориентира по сегменту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4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CRM-дисциплина и прозрачность статусов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Доля активных сделок с актуальным этапом, суммой, датой следующего шага и комментарием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не ниже 95%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5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Качество клиентской работы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Доля клиентов без обоснованных претензий к коммуникации, срокам ответа и корректности предложений</w:t>
            </w:r>
          </w:p>
        </w:tc>
        <w:tc>
          <w:tcPr>
            <w:tcW w:type="dxa" w:w="20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стабильно положительная</w:t>
            </w:r>
          </w:p>
        </w:tc>
      </w:tr>
    </w:tbl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1F4E79"/>
          <w:sz w:val="21"/>
        </w:rPr>
        <w:t>Принцип связности KPI: выходные метрики менеджера по продажам становятся входным условием для результата маркетинга, выручки компании, загрузки производства/сервиса и повторных продаж.</w:t>
      </w:r>
    </w:p>
    <w:p>
      <w:pPr>
        <w:pStyle w:val="Heading1"/>
        <w:keepNext/>
      </w:pPr>
      <w:r>
        <w:t>8. Полномочия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Запрашивать у клиента и смежных подразделений информацию, материалы, расчёты, статусы и документы, необходимые для подготовки и закрытия сделки.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Инициировать коммерческое предложение, презентацию, демонстрацию продукта, расчёт стоимости, согласование типовых условий и следующий шаг по сделке в пределах утверждённой политики.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Возвращать сделку на уточнение, корректировку или дополнительное согласование при неполных данных, риске невыполнимого обещания, отклонении от ценовой матрицы или отсутствии подтверждённых условий.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Эскалировать руководителю спорные скидки, зависшие согласования, рисковые сделки, просроченные ответы клиента и системные барьеры, мешающие выполнению плана.</w:t>
      </w:r>
    </w:p>
    <w:p>
      <w:pPr>
        <w:pStyle w:val="Heading1"/>
        <w:keepNext/>
      </w:pPr>
      <w:r>
        <w:t>9. Ответственность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За потерю лидов, просрочку коммуникации, некорректное ведение клиентской базы, искажение статусов сделок и недостоверный прогноз продаж.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За ошибки в предложениях, обещаниях клиенту, скидках, сроках, параметрах сделки и передаче обязательств, не подтверждённых компанией.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За нарушение стандартов коммуникации, конфиденциальности клиентских данных, коммерческой политики и правил документооборота в продажах.</w:t>
      </w:r>
    </w:p>
    <w:p>
      <w:pPr>
        <w:pStyle w:val="Heading1"/>
        <w:keepNext/>
      </w:pPr>
      <w:r>
        <w:t>10. Требования к квалификации и опыту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Среднее специальное или высшее образование по направлениям: продажи, маркетинг, менеджмент, экономика, сервис, коммерция либо смежные специальности.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Опыт работы в продажах, клиентском сервисе или развитии бизнеса не менее 1 года; для сложных B2B-продуктов, длинного цикла сделки или высокой средней выручки — от 2 лет.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Навыки телефонных и письменных продаж, проведения встреч, выявления потребностей, работы с возражениями, расчёта предложений, фиксации договорённостей и удержания следующего шага по сделке.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Уверенное владение CRM, таблицами, почтой, мессенджерами, презентациями и базовой коммерческой аналитикой; грамотная речь, дисциплина в данных и навык системной работы с воронкой.</w:t>
      </w:r>
    </w:p>
    <w:p>
      <w:pPr>
        <w:pStyle w:val="Heading1"/>
        <w:keepNext/>
      </w:pPr>
      <w:r>
        <w:t>11. Рабочий стиль и предпочтительный психотип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Для должности наиболее продуктивен профиль, сочетающий контактность, настойчивость, ориентацию на результат и дисциплину в сопровождении сделки. Обычно лучше подходят типы из клиентско-коммерческого контура: ESTJ, ENTJ, ENFJ, ESFJ.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Психологически важны: устойчивость к отказам, умение быстро устанавливать контакт, держать ритм коммуникации, не терять детали после переговоров и доводить сделку до следующего шага без эмоционального срыва или хаотичности.</w:t>
      </w:r>
    </w:p>
    <w:p>
      <w:pPr>
        <w:pStyle w:val="Heading1"/>
        <w:keepNext/>
      </w:pPr>
      <w:r>
        <w:t>12. Основные рабочие артефакты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CRM-воронка продаж с этапами, суммами, вероятностями, ответственными и датой следующего действия.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Реестр лидов, клиентов, переговоров, коммерческих предложений, причин отказов и повторных касаний.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Шаблоны коммерческих предложений, презентаций, расчётов, типовых ответов, писем и скриптов коммуникации.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План продаж, прогноз выручки, недельные и месячные отчёты по конверсии, активности и закрытым сделкам.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sz w:val="22"/>
        </w:rPr>
        <w:t>Подборка договоров, счётов, спецификаций, актов и материалов для передачи сделки в исполнение.</w:t>
      </w:r>
    </w:p>
    <w:p>
      <w:r/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1F4E79"/>
          <w:sz w:val="24"/>
        </w:rPr>
        <w:t>Согласование и актуализация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7D3E2"/>
          <w:left w:val="single" w:sz="6" w:space="0" w:color="C7D3E2"/>
          <w:bottom w:val="single" w:sz="6" w:space="0" w:color="C7D3E2"/>
          <w:right w:val="single" w:sz="6" w:space="0" w:color="C7D3E2"/>
          <w:insideH w:val="single" w:sz="6" w:space="0" w:color="C7D3E2"/>
          <w:insideV w:val="single" w:sz="6" w:space="0" w:color="C7D3E2"/>
        </w:tblBorders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r>
              <w:t>Роль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r>
              <w:t>ФИО / подпись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2"/>
          </w:tcPr>
          <w:p>
            <w:r>
              <w:t>Примечание</w:t>
            </w:r>
          </w:p>
        </w:tc>
      </w:tr>
      <w:tr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Директор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__________________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Утверждает</w:t>
            </w:r>
          </w:p>
        </w:tc>
      </w:tr>
      <w:tr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Руководитель отдела продаж</w:t>
            </w:r>
          </w:p>
        </w:tc>
        <w:tc>
          <w:tcPr>
            <w:tcW w:type="dxa" w:w="283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__________________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Согласует профиль должности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6B7C93"/>
        <w:sz w:val="18"/>
      </w:rPr>
      <w:t>ММЦ • Отдел продаж • Коммерческий блок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6B7C93"/>
        <w:sz w:val="18"/>
      </w:rPr>
      <w:t>Типовой регламент должности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365F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