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line="240" w:lineRule="auto"/>
        <w:ind w:firstLine="0"/>
        <w:jc w:val="center"/>
      </w:pPr>
      <w:r>
        <w:rPr>
          <w:b w:val="0"/>
          <w:color w:val="000000"/>
          <w:sz w:val="24"/>
        </w:rPr>
        <w:t>МИНИСТЕРСТВО НАУКИ И ВЫСШЕГО ОБРАЗОВАНИЯ РОССИЙСКОЙ ФЕДЕРАЦИИ</w:t>
      </w:r>
    </w:p>
    <w:p>
      <w:pPr>
        <w:spacing w:after="20" w:line="240" w:lineRule="auto"/>
        <w:ind w:firstLine="0"/>
        <w:jc w:val="center"/>
      </w:pPr>
      <w:r>
        <w:rPr>
          <w:b w:val="0"/>
          <w:color w:val="000000"/>
          <w:sz w:val="24"/>
        </w:rPr>
        <w:t>Федеральное государственное автономное образовательное учреждение высшего образования</w:t>
      </w:r>
    </w:p>
    <w:p>
      <w:pPr>
        <w:spacing w:after="20" w:line="240" w:lineRule="auto"/>
        <w:ind w:firstLine="0"/>
        <w:jc w:val="center"/>
      </w:pPr>
      <w:r>
        <w:rPr>
          <w:b/>
          <w:color w:val="000000"/>
          <w:sz w:val="24"/>
        </w:rPr>
        <w:t>«Национальный исследовательский технологический университет «МИСИС»</w:t>
      </w:r>
    </w:p>
    <w:p>
      <w:pPr>
        <w:spacing w:after="20" w:line="240" w:lineRule="auto"/>
        <w:ind w:firstLine="0"/>
        <w:jc w:val="center"/>
      </w:pPr>
      <w:r>
        <w:rPr>
          <w:b w:val="0"/>
          <w:color w:val="000000"/>
          <w:sz w:val="24"/>
        </w:rPr>
        <w:t>(НИТУ «МИСИС»)</w:t>
      </w:r>
    </w:p>
    <w:p>
      <w:pPr>
        <w:spacing w:after="0" w:line="240" w:lineRule="auto" w:before="560"/>
        <w:ind w:firstLine="0"/>
        <w:jc w:val="center"/>
      </w:pPr>
      <w:r>
        <w:rPr>
          <w:b w:val="0"/>
          <w:color w:val="555555"/>
          <w:sz w:val="20"/>
        </w:rPr>
        <w:t>ИНСТИТУТ</w:t>
      </w:r>
    </w:p>
    <w:p>
      <w:pPr>
        <w:spacing w:after="120" w:line="240" w:lineRule="auto"/>
        <w:ind w:firstLine="0"/>
        <w:jc w:val="center"/>
      </w:pPr>
      <w:r>
        <w:rPr>
          <w:b/>
          <w:color w:val="000000"/>
          <w:sz w:val="24"/>
        </w:rPr>
        <w:t>Институт компьютерных наук</w:t>
      </w:r>
    </w:p>
    <w:p>
      <w:pPr>
        <w:spacing w:after="0" w:line="240" w:lineRule="auto"/>
        <w:ind w:firstLine="0"/>
        <w:jc w:val="center"/>
      </w:pPr>
      <w:r>
        <w:rPr>
          <w:b w:val="0"/>
          <w:color w:val="555555"/>
          <w:sz w:val="20"/>
        </w:rPr>
        <w:t>КАФЕДРА</w:t>
      </w:r>
    </w:p>
    <w:p>
      <w:pPr>
        <w:spacing w:after="120" w:line="240" w:lineRule="auto"/>
        <w:ind w:firstLine="0"/>
        <w:jc w:val="center"/>
      </w:pPr>
      <w:r>
        <w:rPr>
          <w:b/>
          <w:color w:val="000000"/>
          <w:sz w:val="24"/>
        </w:rPr>
        <w:t>инфокоммуникационных технологий</w:t>
      </w:r>
    </w:p>
    <w:p>
      <w:pPr>
        <w:spacing w:after="0" w:line="240" w:lineRule="auto"/>
        <w:ind w:firstLine="0"/>
        <w:jc w:val="center"/>
      </w:pPr>
      <w:r>
        <w:rPr>
          <w:b w:val="0"/>
          <w:color w:val="555555"/>
          <w:sz w:val="20"/>
        </w:rPr>
        <w:t>НАПРАВЛЕНИЕ</w:t>
      </w:r>
    </w:p>
    <w:p>
      <w:pPr>
        <w:spacing w:after="120" w:line="240" w:lineRule="auto"/>
        <w:ind w:firstLine="0"/>
        <w:jc w:val="center"/>
      </w:pPr>
      <w:r>
        <w:rPr>
          <w:b w:val="0"/>
          <w:color w:val="000000"/>
          <w:sz w:val="24"/>
        </w:rPr>
        <w:t>09.03.02 — Информационные системы и технологии</w:t>
      </w:r>
    </w:p>
    <w:p>
      <w:pPr>
        <w:spacing w:after="120" w:line="240" w:lineRule="auto" w:before="960"/>
        <w:ind w:firstLine="0"/>
        <w:jc w:val="center"/>
      </w:pPr>
      <w:r>
        <w:rPr>
          <w:b/>
          <w:color w:val="000000"/>
          <w:sz w:val="30"/>
        </w:rPr>
        <w:t>ДОМАШНЕЕ ЗАДАНИЕ № 1</w:t>
      </w:r>
    </w:p>
    <w:p>
      <w:pPr>
        <w:spacing w:after="80" w:line="240" w:lineRule="auto"/>
        <w:ind w:firstLine="0"/>
        <w:jc w:val="center"/>
      </w:pPr>
      <w:r>
        <w:rPr>
          <w:b w:val="0"/>
          <w:color w:val="000000"/>
          <w:sz w:val="26"/>
        </w:rPr>
        <w:t>по дисциплине «Оптимизация клиент-серверных приложений»</w:t>
      </w:r>
    </w:p>
    <w:p>
      <w:pPr>
        <w:spacing w:after="40" w:line="240" w:lineRule="auto"/>
        <w:ind w:firstLine="0"/>
        <w:jc w:val="center"/>
      </w:pPr>
      <w:r>
        <w:rPr>
          <w:b w:val="0"/>
          <w:color w:val="000000"/>
          <w:sz w:val="26"/>
        </w:rPr>
        <w:t>на тему: «Разработка сервиса по индивидуальному варианту и измерение исходных показателей производительности»</w:t>
      </w:r>
    </w:p>
    <w:p>
      <w:pPr>
        <w:spacing w:after="0" w:line="240" w:lineRule="auto"/>
        <w:ind w:firstLine="0"/>
        <w:jc w:val="center"/>
      </w:pPr>
      <w:r>
        <w:rPr>
          <w:b w:val="0"/>
          <w:color w:val="555555"/>
          <w:sz w:val="26"/>
        </w:rPr>
        <w:t>Вариант 3</w:t>
      </w:r>
    </w:p>
    <w:p>
      <w:pPr>
        <w:tabs>
          <w:tab w:pos="4600" w:val="left"/>
          <w:tab w:pos="6600" w:val="left"/>
        </w:tabs>
        <w:spacing w:before="1120" w:after="0" w:line="240" w:lineRule="auto"/>
        <w:ind w:firstLine="0"/>
      </w:pPr>
      <w:r>
        <w:rPr>
          <w:sz w:val="26"/>
        </w:rPr>
        <w:t>Студент группы БИСТ-24-ПО-2</w:t>
        <w:tab/>
        <w:t>_______________</w:t>
        <w:tab/>
        <w:t>Родионов С. О.</w:t>
      </w:r>
    </w:p>
    <w:p>
      <w:pPr>
        <w:tabs>
          <w:tab w:pos="4600" w:val="left"/>
          <w:tab w:pos="6600" w:val="left"/>
        </w:tabs>
        <w:spacing w:before="360" w:after="0" w:line="240" w:lineRule="auto"/>
        <w:ind w:firstLine="0"/>
      </w:pPr>
      <w:r>
        <w:rPr>
          <w:sz w:val="26"/>
        </w:rPr>
        <w:t>Преподаватель</w:t>
        <w:tab/>
        <w:t>_______________</w:t>
        <w:tab/>
        <w:t>Жердев А. А., к.т.н., доцент</w:t>
      </w:r>
    </w:p>
    <w:p>
      <w:pPr>
        <w:spacing w:after="0" w:line="240" w:lineRule="auto" w:before="4620"/>
        <w:ind w:firstLine="0"/>
        <w:jc w:val="center"/>
      </w:pPr>
      <w:r>
        <w:rPr>
          <w:b w:val="0"/>
          <w:color w:val="000000"/>
          <w:sz w:val="26"/>
        </w:rPr>
        <w:t>Москва, 2026</w:t>
      </w:r>
    </w:p>
    <w:p>
      <w:pPr>
        <w:keepNext/>
        <w:keepLines/>
        <w:pageBreakBefore/>
        <w:spacing w:before="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4"/>
        </w:rPr>
        <w:t>СОДЕРЖАНИЕ</w:t>
      </w:r>
    </w:p>
    <w:p w14:paraId="129E6A81" w14:textId="26A715D9" w:rsidR="0064076F" w:rsidRDefault="0064076F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70245" w:history="1">
        <w:r w:rsidRPr="00FA2518">
          <w:rPr>
            <w:rStyle w:val="Hyperlink"/>
            <w:rFonts w:eastAsiaTheme="majorEastAsia"/>
            <w:noProof/>
          </w:rPr>
          <w:t>ЗАДАНИЕ И ВАРИАНТ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_Toc242370245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688877" w14:textId="1474649A" w:rsidR="0064076F" w:rsidRDefault="0064076F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70246" w:history="1">
        <w:r w:rsidRPr="00FA2518">
          <w:rPr>
            <w:rStyle w:val="Hyperlink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_Toc242370246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482082" w14:textId="5EE59B07" w:rsidR="0064076F" w:rsidRDefault="0064076F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70247" w:history="1">
        <w:r w:rsidRPr="00FA2518">
          <w:rPr>
            <w:rStyle w:val="Hyperlink"/>
            <w:rFonts w:eastAsiaTheme="majorEastAsia"/>
            <w:noProof/>
          </w:rPr>
          <w:t>1 Сервис, стенд и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_Toc242370247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140EEA" w14:textId="2B4F3346" w:rsidR="0064076F" w:rsidRDefault="0064076F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70248" w:history="1">
        <w:r w:rsidRPr="00FA2518">
          <w:rPr>
            <w:rStyle w:val="Hyperlink"/>
            <w:rFonts w:eastAsiaTheme="majorEastAsia"/>
            <w:noProof/>
          </w:rPr>
          <w:t>1.1 Сервис и контракт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_Toc242370248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8D123B" w14:textId="6D9A2E08" w:rsidR="0064076F" w:rsidRDefault="0064076F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70249" w:history="1">
        <w:r w:rsidRPr="00FA2518">
          <w:rPr>
            <w:rStyle w:val="Hyperlink"/>
            <w:rFonts w:eastAsiaTheme="majorEastAsia"/>
            <w:noProof/>
          </w:rPr>
          <w:t>1.2 Модульные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_Toc242370249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013894" w14:textId="3EB8A9F4" w:rsidR="0064076F" w:rsidRDefault="0064076F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70250" w:history="1">
        <w:r w:rsidRPr="00FA2518">
          <w:rPr>
            <w:rStyle w:val="Hyperlink"/>
            <w:rFonts w:eastAsiaTheme="majorEastAsia"/>
            <w:noProof/>
          </w:rPr>
          <w:t>1.3 Условия испытания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_Toc242370250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E442C2" w14:textId="7CBB916A" w:rsidR="0064076F" w:rsidRDefault="0064076F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70251" w:history="1">
        <w:r w:rsidRPr="00FA2518">
          <w:rPr>
            <w:rStyle w:val="Hyperlink"/>
            <w:rFonts w:eastAsiaTheme="majorEastAsia"/>
            <w:noProof/>
          </w:rPr>
          <w:t>1.4 Наполнение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_Toc242370251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4E1E0C5" w14:textId="52EF140B" w:rsidR="0064076F" w:rsidRDefault="0064076F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70252" w:history="1">
        <w:r w:rsidRPr="00FA2518">
          <w:rPr>
            <w:rStyle w:val="Hyperlink"/>
            <w:rFonts w:eastAsiaTheme="majorEastAsia"/>
            <w:noProof/>
          </w:rPr>
          <w:t>2 Измерения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_Toc242370252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78DA87" w14:textId="233E4979" w:rsidR="0064076F" w:rsidRDefault="0064076F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70253" w:history="1">
        <w:r w:rsidRPr="00FA2518">
          <w:rPr>
            <w:rStyle w:val="Hyperlink"/>
            <w:rFonts w:eastAsiaTheme="majorEastAsia"/>
            <w:noProof/>
          </w:rPr>
          <w:t>2.1 Время ответа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_Toc242370253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645BA3" w14:textId="2CFF4958" w:rsidR="0064076F" w:rsidRDefault="0064076F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70254" w:history="1">
        <w:r w:rsidRPr="00FA2518">
          <w:rPr>
            <w:rStyle w:val="Hyperlink"/>
            <w:rFonts w:eastAsiaTheme="majorEastAsia"/>
            <w:noProof/>
          </w:rPr>
          <w:t>2.2 Разложение времени между приложением и базой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_Toc242370254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1C59F3" w14:textId="130AA6DE" w:rsidR="0064076F" w:rsidRDefault="0064076F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70255" w:history="1">
        <w:r w:rsidRPr="00FA2518">
          <w:rPr>
            <w:rStyle w:val="Hyperlink"/>
            <w:rFonts w:eastAsiaTheme="majorEastAsia"/>
            <w:noProof/>
          </w:rPr>
          <w:t>3 Гипотезы об узких местах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_Toc242370255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B3A208" w14:textId="7AD4C4E2" w:rsidR="0064076F" w:rsidRDefault="0064076F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70256" w:history="1">
        <w:r w:rsidRPr="00FA2518">
          <w:rPr>
            <w:rStyle w:val="Hyperlink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_Toc242370256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05BF62E" w14:textId="3250A699" w:rsidR="0064076F" w:rsidRDefault="0064076F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2370257" w:history="1">
        <w:r w:rsidRPr="00FA2518">
          <w:rPr>
            <w:rStyle w:val="Hyperlink"/>
            <w:rFonts w:eastAsiaTheme="majorEastAsia"/>
            <w:noProof/>
          </w:rPr>
          <w:t>ПРИЛОЖЕНИЕ А РУЧНАЯ ОТМЕНА ЗАПИСИ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_Toc242370257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2AB3E4D" w14:textId="7300246A" w:rsidR="009B4857" w:rsidRDefault="0064076F">
      <w:r>
        <w:fldChar w:fldCharType="end"/>
      </w:r>
    </w:p>
    <w:p>
      <w:pPr>
        <w:pStyle w:val="Heading1"/>
        <w:keepNext/>
        <w:keepLines/>
        <w:pageBreakBefore/>
        <w:spacing w:before="0" w:after="120" w:line="360" w:lineRule="auto"/>
        <w:ind w:firstLine="0"/>
        <w:jc w:val="center"/>
      </w:pPr>
      <w:bookmarkStart w:id="0" w:name="_Toc242370245"/>
      <w:r>
        <w:rPr>
          <w:b/>
          <w:color w:val="000000"/>
        </w:rPr>
        <w:t>ЗАДАНИЕ И ВАРИАНТ</w:t>
      </w:r>
      <w:bookmarkEnd w:id="0"/>
    </w:p>
    <w:p>
      <w:pPr>
        <w:keepNext/>
        <w:spacing w:before="120" w:after="40" w:line="240" w:lineRule="auto"/>
        <w:ind w:firstLine="0"/>
        <w:jc w:val="left"/>
      </w:pPr>
      <w:r>
        <w:rPr>
          <w:b w:val="0"/>
          <w:color w:val="000000"/>
        </w:rPr>
        <w:t>Таблица 1 – Вариант и стенд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803"/>
      </w:tblGrid>
      <w:tr>
        <w:trPr>
          <w:cantSplit/>
          <w:tblHeader/>
        </w:trPr>
        <w:tc>
          <w:tcPr>
            <w:tcW w:type="dxa" w:w="2891"/>
            <w:vAlign w:val="center"/>
            <w:shd w:fill="EDEDED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6803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Студент / группа</w:t>
            </w:r>
          </w:p>
        </w:tc>
        <w:tc>
          <w:tcPr>
            <w:tcW w:type="dxa" w:w="6803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Родионов Сергей Олегович / БИСТ-24-ПО-2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Вариант и область</w:t>
            </w:r>
          </w:p>
        </w:tc>
        <w:tc>
          <w:tcPr>
            <w:tcW w:type="dxa" w:w="6803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 — запись на приём к специалисту; Р входит в Н–Я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Префикс</w:t>
            </w:r>
          </w:p>
        </w:tc>
        <w:tc>
          <w:tcPr>
            <w:tcW w:type="dxa" w:w="6803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sergey_rodionov: БД, схема и проект Compose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Сервер</w:t>
            </w:r>
          </w:p>
        </w:tc>
        <w:tc>
          <w:tcPr>
            <w:tcW w:type="dxa" w:w="6803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Python 3.12.12; FastAPI 0.115.12; Uvicorn 0.34.2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Доступ к данным</w:t>
            </w:r>
          </w:p>
        </w:tc>
        <w:tc>
          <w:tcPr>
            <w:tcW w:type="dxa" w:w="6803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SQLAlchemy 2.0.40; psycopg 3.2.6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СУБД</w:t>
            </w:r>
          </w:p>
        </w:tc>
        <w:tc>
          <w:tcPr>
            <w:tcW w:type="dxa" w:w="6803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PostgreSQL 16.10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Клиент</w:t>
            </w:r>
          </w:p>
        </w:tc>
        <w:tc>
          <w:tcPr>
            <w:tcW w:type="dxa" w:w="6803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Jinja2 3.1.6; HTML/CSS; минимальный JavaScript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Репозиторий</w:t>
            </w:r>
          </w:p>
        </w:tc>
        <w:tc>
          <w:tcPr>
            <w:tcW w:type="dxa" w:w="6803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hyperlink r:id="rIdRepository" w:history="1">
              <w:r>
                <w:rPr>
                  <w:rFonts w:ascii="Times New Roman" w:hAnsi="Times New Roman"/>
                  <w:b w:val="0"/>
                  <w:sz w:val="22"/>
                  <w:color w:val="0563C1"/>
                  <w:u w:val="single"/>
                </w:rPr>
                <w:t>https://github.com/SergeySRE/oksp_dz1_RodionovSO</w:t>
              </w:r>
            </w:hyperlink>
          </w:p>
        </w:tc>
      </w:tr>
    </w:tbl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Сервис хранит расписание специалистов слотами. Оператор выбирает услугу и период, получает свободные слоты подходящей длительности и создаёт запись клиента. Занятый слот, наложение на действующую запись или несоответствие длительности приводят к отказу 409. Отмена сохраняет историю и освобождает слот; сводка показывает загрузку специалистов и долю отмен за период.</w:t>
      </w:r>
    </w:p>
    <w:p>
      <w:pPr>
        <w:pStyle w:val="Heading1"/>
        <w:keepNext/>
        <w:keepLines/>
        <w:pageBreakBefore/>
        <w:spacing w:before="0" w:after="120" w:line="360" w:lineRule="auto"/>
        <w:ind w:firstLine="0"/>
        <w:jc w:val="center"/>
      </w:pPr>
      <w:bookmarkStart w:id="1" w:name="_Toc242370246"/>
      <w:r>
        <w:rPr>
          <w:b/>
          <w:color w:val="000000"/>
        </w:rPr>
        <w:t>ВВЕДЕНИЕ</w:t>
      </w:r>
      <w:bookmarkEnd w:id="1"/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Исходные показатели нужны, чтобы отличать наблюдаемое замедление от предположений о скорости. Сравнение одной версии сервиса на двух объёмах данных позволяет выбрать операции для дальнейшего исследования, а сохранение запросов, условий и сырых повторов делает выводы проверяемыми.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Цель работы — реализовать сервис варианта 3 и получить воспроизводимые исходные показатели его производительности до оптимизации.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Для достижения цели необходимо решить следующие задачи: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1. Реализовать авторизованный сервис и основные сценарии через браузер.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2. Описать структуру данных и контракт JSON API.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3. Покрыть бизнес-правила и операции контракта тестами.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4. Подготовить воспроизводимые SMALL и WORKING наполнения.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5. Измерить время всех операций после прогрева на обоих объёмах.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6. Разложить время выбранных операций на SQL-время и остаток.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7. Сформулировать не менее трёх гипотез с числовым обоснованием.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8. Проверить очевидные ошибки, документировать результаты и подготовить материалы сдачи.</w:t>
      </w:r>
    </w:p>
    <w:p>
      <w:pPr>
        <w:pStyle w:val="Heading1"/>
        <w:keepNext/>
        <w:keepLines/>
        <w:pageBreakBefore/>
        <w:spacing w:before="240" w:after="120" w:line="360" w:lineRule="auto"/>
        <w:ind w:firstLine="709"/>
        <w:jc w:val="left"/>
      </w:pPr>
      <w:bookmarkStart w:id="2" w:name="_Toc242370247"/>
      <w:r>
        <w:rPr>
          <w:b/>
          <w:color w:val="000000"/>
        </w:rPr>
        <w:t>1 Сервис, стенд и данные</w:t>
      </w:r>
      <w:bookmarkEnd w:id="2"/>
    </w:p>
    <w:p>
      <w:pPr>
        <w:pStyle w:val="Heading2"/>
        <w:keepNext/>
        <w:keepLines/>
        <w:spacing w:before="240" w:after="120" w:line="360" w:lineRule="auto"/>
        <w:ind w:firstLine="709"/>
        <w:jc w:val="left"/>
      </w:pPr>
      <w:bookmarkStart w:id="3" w:name="_Toc242370248"/>
      <w:r>
        <w:rPr>
          <w:b/>
          <w:color w:val="000000"/>
        </w:rPr>
        <w:t>1.1 Сервис и контракт</w:t>
      </w:r>
      <w:bookmarkEnd w:id="3"/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Авторизация — подписанная cookie-сессия, HttpOnly, SameSite=Lax; оператор demo. Обязательные экраны: /appointments с фильтрами и пагинацией; /appointments/{id} со связанными сущностями; /summary с итогами по всему периоду. /booking позволяет искать свободный слот и создавать запись. Отмена сохраняет историю и освобождает слот.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В базе пять таблиц. Все id — bigint PK; дополнительные индексы, кеширование, очереди и фоновые задачи не применяются. Структура: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users: login, password_hash (PBKDF2-SHA256), full_name; 1:N appointments по оператору.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specialists: full_name, specialization; 1:N slots.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services: name, duration_minutes &gt; 0; 1:N slots.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slots: specialist_id FK, service_id FK, starts_at, ends_at (timestamptz); конец позже начала.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appointments: slot_id FK, created_by_id FK, client_name, client_contact, status, created_at, nullable cancelled_at. Отмена не удаляет строку; CHECK связывает статус и дату отмены.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Активные записи проверяются на пересечение полуоткрытых интервалов [начало, конец); соседние интервалы разрешены. Статусы booked/cancelled. Повторная отмена не меняет время первоначальной отмены. Загрузка — занятые минуты / минуты расписания × 100; пересечения учитываются один раз. Без расписания загрузка null, без записей доля отмен 0.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API и HTML-страницы используют общие функции app/services.py. Модели — app/models.py, авторизация — app/auth.py, seed — app/seed.py; интерфейс — templates/static. Запуск и полный контракт описаны в README.md.</w:t>
      </w:r>
    </w:p>
    <w:p>
      <w:pPr>
        <w:keepNext/>
        <w:spacing w:before="120" w:after="40" w:line="240" w:lineRule="auto"/>
        <w:ind w:firstLine="0"/>
        <w:jc w:val="left"/>
      </w:pPr>
      <w:r>
        <w:rPr>
          <w:b w:val="0"/>
          <w:color w:val="000000"/>
        </w:rPr>
        <w:t>Таблица 2 – Операции программного интерфейса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665"/>
        <w:gridCol w:w="2835"/>
        <w:gridCol w:w="1361"/>
      </w:tblGrid>
      <w:tr>
        <w:trPr>
          <w:cantSplit/>
          <w:tblHeader/>
        </w:trPr>
        <w:tc>
          <w:tcPr>
            <w:tcW w:type="dxa" w:w="2835"/>
            <w:vAlign w:val="center"/>
            <w:shd w:fill="EDEDED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Метод и путь</w:t>
            </w:r>
          </w:p>
        </w:tc>
        <w:tc>
          <w:tcPr>
            <w:tcW w:type="dxa" w:w="2665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Параметры / тело</w:t>
            </w:r>
          </w:p>
        </w:tc>
        <w:tc>
          <w:tcPr>
            <w:tcW w:type="dxa" w:w="2835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Успешный ответ</w:t>
            </w:r>
          </w:p>
        </w:tc>
        <w:tc>
          <w:tcPr>
            <w:tcW w:type="dxa" w:w="1361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Ошибки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POST /api/auth/login</w:t>
            </w:r>
          </w:p>
        </w:tc>
        <w:tc>
          <w:tcPr>
            <w:tcW w:type="dxa" w:w="2665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login, password</w:t>
            </w:r>
          </w:p>
        </w:tc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200: id, login, full_name; Set-Cookie</w:t>
            </w:r>
          </w:p>
        </w:tc>
        <w:tc>
          <w:tcPr>
            <w:tcW w:type="dxa" w:w="1361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401, 422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POST /api/auth/logout</w:t>
            </w:r>
          </w:p>
        </w:tc>
        <w:tc>
          <w:tcPr>
            <w:tcW w:type="dxa" w:w="2665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нет</w:t>
            </w:r>
          </w:p>
        </w:tc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204 без тела; удаление cookie</w:t>
            </w:r>
          </w:p>
        </w:tc>
        <w:tc>
          <w:tcPr>
            <w:tcW w:type="dxa" w:w="1361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401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GET /api/services</w:t>
            </w:r>
          </w:p>
        </w:tc>
        <w:tc>
          <w:tcPr>
            <w:tcW w:type="dxa" w:w="2665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нет</w:t>
            </w:r>
          </w:p>
        </w:tc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200: массив id, name, duration_minutes</w:t>
            </w:r>
          </w:p>
        </w:tc>
        <w:tc>
          <w:tcPr>
            <w:tcW w:type="dxa" w:w="1361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401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GET /api/specialists</w:t>
            </w:r>
          </w:p>
        </w:tc>
        <w:tc>
          <w:tcPr>
            <w:tcW w:type="dxa" w:w="266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service_id &gt; 0, необязательный</w:t>
            </w:r>
          </w:p>
        </w:tc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200: массив id, full_name, specialization; услуга без специалистов даёт []</w:t>
            </w:r>
          </w:p>
        </w:tc>
        <w:tc>
          <w:tcPr>
            <w:tcW w:type="dxa" w:w="1361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401, 422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GET /api/slots</w:t>
            </w:r>
          </w:p>
        </w:tc>
        <w:tc>
          <w:tcPr>
            <w:tcW w:type="dxa" w:w="266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service_id, date_from, date_to; specialist_id; page=1, size=20</w:t>
            </w:r>
          </w:p>
        </w:tc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200: items свободных слотов, total, page, size</w:t>
            </w:r>
          </w:p>
        </w:tc>
        <w:tc>
          <w:tcPr>
            <w:tcW w:type="dxa" w:w="1361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401, 404, 422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GET /api/appointments</w:t>
            </w:r>
          </w:p>
        </w:tc>
        <w:tc>
          <w:tcPr>
            <w:tcW w:type="dxa" w:w="266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page=1, size=20; status, specialist_id, service_id, date_from, date_to</w:t>
            </w:r>
          </w:p>
        </w:tc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200: items записей, total, page, size</w:t>
            </w:r>
          </w:p>
        </w:tc>
        <w:tc>
          <w:tcPr>
            <w:tcW w:type="dxa" w:w="1361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401, 422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GET /api/appointments/{id}</w:t>
            </w:r>
          </w:p>
        </w:tc>
        <w:tc>
          <w:tcPr>
            <w:tcW w:type="dxa" w:w="2665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положительный id</w:t>
            </w:r>
          </w:p>
        </w:tc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200: полная запись</w:t>
            </w:r>
          </w:p>
        </w:tc>
        <w:tc>
          <w:tcPr>
            <w:tcW w:type="dxa" w:w="1361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401, 404, 422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POST /api/appointments</w:t>
            </w:r>
          </w:p>
        </w:tc>
        <w:tc>
          <w:tcPr>
            <w:tcW w:type="dxa" w:w="266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slot_id, client_name, client_contact</w:t>
            </w:r>
          </w:p>
        </w:tc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201: полная созданная запись</w:t>
            </w:r>
          </w:p>
        </w:tc>
        <w:tc>
          <w:tcPr>
            <w:tcW w:type="dxa" w:w="1361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401, 404, 409, 422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POST</w:t>
              <w:br/>
              <w:t>/api/appointments/</w:t>
              <w:br/>
              <w:t>{id}/cancel</w:t>
            </w:r>
          </w:p>
        </w:tc>
        <w:tc>
          <w:tcPr>
            <w:tcW w:type="dxa" w:w="2665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положительный id</w:t>
            </w:r>
          </w:p>
        </w:tc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200: полная отменённая запись; повторный вызов возвращает то же время отмены</w:t>
            </w:r>
          </w:p>
        </w:tc>
        <w:tc>
          <w:tcPr>
            <w:tcW w:type="dxa" w:w="1361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401, 404, 422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GET /api/summary</w:t>
            </w:r>
          </w:p>
        </w:tc>
        <w:tc>
          <w:tcPr>
            <w:tcW w:type="dxa" w:w="2665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date_from, date_to</w:t>
            </w:r>
          </w:p>
        </w:tc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200: показатели сводки</w:t>
            </w:r>
          </w:p>
        </w:tc>
        <w:tc>
          <w:tcPr>
            <w:tcW w:type="dxa" w:w="1361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401, 422</w:t>
            </w:r>
          </w:p>
        </w:tc>
      </w:tr>
    </w:tbl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Параметры дат — YYYY-MM-DD; date_to не раньше date_from. Идентификаторы положительные, page ≥ 1, 1 ≤ size ≤ 100. status — booked или cancelled. Длина ФИО и контакта 1–200 символов после удаления пробелов по краям. Неизвестные поля POST отклоняются с 422.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Полная запись: id, status, client_name, client_contact, created_at, cancelled_at, slot: {id, starts_at, ends_at}, specialist: {id, full_name, specialization}, service: {id, name, duration_minutes}, created_by: {id, full_name}. Список возвращает тот же формат каждой записи.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Свободный слот: id, starts_at, ends_at, specialist: {id, full_name}, service: {id, name, duration_minutes}.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Сводка: date_from, date_to, total_appointments, cancelled_appointments, cancellation_percent, specialists: [{specialist_id, full_name, scheduled_minutes, booked_minutes, load_percent}].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Даты и время JSON — ISO 8601 с часовым поясом; cancelled_at может быть null. Список записей сортируется по starts_at DESC, id DESC; свободные слоты — starts_at ASC, id ASC; справочники и специалисты сводки — id ASC. total относится ко всему отфильтрованному набору; страница за его концом содержит пустой items. Отсутствующие объекты при чтении карточки, бронировании и отмене дают 404. Несуществующие идентификаторы в фильтрах списка дают пустой результат. В поиске слотов отсутствующая услуга или специалист дают 404. 409 означает занятый слот, пересечение с записью или несоответствие длительности.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Ошибка предметной операции имеет вид {"detail": "сообщение"}. Ошибка валидации FastAPI — {"detail": [{loc, msg, type, ...}]}. При некорректных параметрах и отсутствии входа порядок проверки не считается гарантией: корректный неавторизованный запрос получает 401, некорректный может получить 422. Автоматическая схема: /openapi.json; интерактивная документация: /docs.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Ручная демонстрация записи №100001 выполнена 08.10.2026 после измерений от 07.10.2026. Карточка показывает создание в 09:13 МСК и связанные сущности (рисунок 1). Сводка снята до демонстрации: 100000 записей, 20000 отмен, 20% (рисунок 2). После ручной отмены в 09:16 историческая строка сохраняется; её кадр приведён в приложении А.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45138"/>
            <wp:docPr id="1" name="Picture 1" descr="Созданная вручную запись №100001 от 08.10.2026 (S13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5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120" w:after="40" w:line="240" w:lineRule="auto"/>
        <w:ind w:firstLine="0"/>
        <w:jc w:val="center"/>
      </w:pPr>
      <w:r>
        <w:rPr>
          <w:b w:val="0"/>
          <w:color w:val="000000"/>
          <w:sz w:val="22"/>
        </w:rPr>
        <w:t>Рисунок 1 – Созданная вручную запись №100001 от 08.10.2026 (S13)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67692"/>
            <wp:docPr id="2" name="Picture 2" descr="Сводка WORKING до ручной демонстрации (S09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120" w:after="40" w:line="240" w:lineRule="auto"/>
        <w:ind w:firstLine="0"/>
        <w:jc w:val="center"/>
      </w:pPr>
      <w:r>
        <w:rPr>
          <w:b w:val="0"/>
          <w:color w:val="000000"/>
          <w:sz w:val="22"/>
        </w:rPr>
        <w:t>Рисунок 2 – Сводка WORKING до ручной демонстрации (S09)</w:t>
      </w:r>
    </w:p>
    <w:p>
      <w:pPr>
        <w:pStyle w:val="Heading2"/>
        <w:keepNext/>
        <w:keepLines/>
        <w:spacing w:before="240" w:after="120" w:line="360" w:lineRule="auto"/>
        <w:ind w:firstLine="709"/>
        <w:jc w:val="left"/>
      </w:pPr>
      <w:bookmarkStart w:id="4" w:name="_Toc242370249"/>
      <w:r>
        <w:rPr>
          <w:b/>
          <w:color w:val="000000"/>
        </w:rPr>
        <w:t>1.2 Модульные тесты</w:t>
      </w:r>
      <w:bookmarkEnd w:id="4"/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Команда: docker compose -f compose.yaml run --rm -T app pytest -q. Итоговый прогон 08.10.2026: 60 passed, 1 warning in 15.11s. Код завершения 0. Полный stdout/stderr — docs/dz1_pytest.txt; код — docs/dz1_pytest_exit_code.txt. Единственное предупреждение — устаревающий alias AnyIO BlockingPortal в Starlette TestClient; ошибок тестов нет.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Проверены бизнес-правила, создание, занятость и отмена, фильтры и пагинация, карточка и сводка, авторизация, 404/409/422, HTML, воспроизводимость seed и измеритель. Правила вызываются без работающего HTTP-сервера; интеграционные проверки используют TestClient и временную схему реального PostgreSQL.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Изоляция проверена по tests/conftest.py: schema_translate_map перенаправляет таблицы в sergey_rodionov_test_&lt;случайный суффикс&gt;; get_db подменён тестовой сессией. Seed, последовательности ID и подготовка измерителя учитывают эту схему. После pytest временная схема удалена. SHA256 строк рабочей БД, все последовательности и карточка №100001 до/после совпали: 100001 записей, из них демонстрационная отменена. Исходники и измерительные файлы не изменились.</w:t>
      </w:r>
    </w:p>
    <w:p>
      <w:pPr>
        <w:keepNext/>
        <w:spacing w:before="120" w:after="40" w:line="240" w:lineRule="auto"/>
        <w:ind w:firstLine="0"/>
        <w:jc w:val="left"/>
      </w:pPr>
      <w:r>
        <w:rPr>
          <w:b w:val="0"/>
          <w:color w:val="000000"/>
        </w:rPr>
        <w:t>Листинг 1 – Примеры тестов правила и контракта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# tests/test_rules.py; подготовка и фикстуры заданы в наборе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def test_duration_must_match_service():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slot = SimpleNamespace(starts_at=START, ends_at=START + timedelta(minutes=30))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assert duration_is_suitable(slot, SimpleNamespace(duration_minutes=30))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assert not duration_is_suitable(slot, SimpleNamespace(duration_minutes=45))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# tests/test_api.py; подготовка и фикстуры заданы в наборе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def test_writes_require_authorization(client):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assert book(client, 1).status_code == 401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assert client.post("/api/appointments/1/cancel").status_code == 401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assert client.post("/api/auth/logout").status_code == 401</w:t>
      </w:r>
    </w:p>
    <w:p>
      <w:pPr>
        <w:pStyle w:val="Heading2"/>
        <w:keepNext/>
        <w:keepLines/>
        <w:spacing w:before="240" w:after="120" w:line="360" w:lineRule="auto"/>
        <w:ind w:firstLine="709"/>
        <w:jc w:val="left"/>
      </w:pPr>
      <w:bookmarkStart w:id="5" w:name="_Toc242370250"/>
      <w:r>
        <w:rPr>
          <w:b/>
          <w:color w:val="000000"/>
        </w:rPr>
        <w:t>1.3 Условия испытания</w:t>
      </w:r>
      <w:bookmarkEnd w:id="5"/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Во всех четырёх JSON условия идентичны: машина, версии, оператор, параметры, прогрев и повторы. Хеши бизнес-файлов, измерителя и SQL-наблюдения совпадают с проверенными исходниками. Даты серии относятся к измерениям, а не к последующему просмотру.</w:t>
      </w:r>
    </w:p>
    <w:p>
      <w:pPr>
        <w:keepNext/>
        <w:spacing w:before="120" w:after="40" w:line="240" w:lineRule="auto"/>
        <w:ind w:firstLine="0"/>
        <w:jc w:val="left"/>
      </w:pPr>
      <w:r>
        <w:rPr>
          <w:b w:val="0"/>
          <w:color w:val="000000"/>
        </w:rPr>
        <w:t>Таблица 3 – Условия испытания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60"/>
      </w:tblGrid>
      <w:tr>
        <w:trPr>
          <w:cantSplit/>
          <w:tblHeader/>
        </w:trPr>
        <w:tc>
          <w:tcPr>
            <w:tcW w:type="dxa" w:w="2835"/>
            <w:vAlign w:val="center"/>
            <w:shd w:fill="EDEDED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6860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Машина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11th Gen Intel(R) Core(TM) i7-1165G7 @ 2.80GHz; 8 логических CPU; MemTotal:        7965048 kB (около 7,60 GiB)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Среда</w:t>
            </w:r>
          </w:p>
        </w:tc>
        <w:tc>
          <w:tcPr>
            <w:tcW w:type="dxa" w:w="6860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Docker, Linux x86_64 / WSL2; ядро 6.18.40.1-microsoft-standard-WSL2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Python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3.12.12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Библиотеки</w:t>
            </w:r>
          </w:p>
        </w:tc>
        <w:tc>
          <w:tcPr>
            <w:tcW w:type="dxa" w:w="6860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fastapi 0.115.12; uvicorn 0.34.2; SQLAlchemy 2.0.40; psycopg 3.2.6; Jinja2 3.1.6; httpx 0.28.1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СУБД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PostgreSQL 16.10 (Debian 16.10-1.pgdg12+1) on x86_64-pc-linux-gnu, compiled by gcc (Debian 12.2.0-14+deb12u1) 12.2.0, 64-bit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Настройки БД</w:t>
            </w:r>
          </w:p>
        </w:tc>
        <w:tc>
          <w:tcPr>
            <w:tcW w:type="dxa" w:w="6860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shared_buffers=128MB; work_mem=4MB; max_connections=100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Ограничения app cgroup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{'cpu.max': 'max 100000', 'memory.max': 'max'}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Учётная запись</w:t>
            </w:r>
          </w:p>
        </w:tc>
        <w:tc>
          <w:tcPr>
            <w:tcW w:type="dxa" w:w="6860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demo, id=1; одна на SMALL и WORKING; пароль в результатах не сохраняется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Клиент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HTTPX в работающем контейнере app → http://127.0.0.1:8080; один последовательный клиент, HTTP/1.1, keep-alive; trust_env=False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Повторы</w:t>
            </w:r>
          </w:p>
        </w:tc>
        <w:tc>
          <w:tcPr>
            <w:tcW w:type="dxa" w:w="6860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 прогревочных и 30 измеряемых запросов на каждую операцию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Таймер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perf_counter_ns: отправка запроса и полное чтение HTTP-ответа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Период фильтров</w:t>
            </w:r>
          </w:p>
        </w:tc>
        <w:tc>
          <w:tcPr>
            <w:tcW w:type="dxa" w:w="6860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01.01.2026–31.12.2026; свободные слоты service_id=1, page=1, size=20; список записей page=1, size=20</w:t>
            </w:r>
          </w:p>
        </w:tc>
      </w:tr>
    </w:tbl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Исходные baseline-серии начались 07.10.2026 в 20:38:41 (SMALL) и 20:39:38 (WORKING) МСК. Диагностика — в 20:42:15 и 20:43:18 соответственно. Версии Docker Engine/Compose исторических серий не записаны и не подставляются из текущего стенда.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2816087"/>
            <wp:docPr id="3" name="Picture 3" descr="Стенд и количества WORKING 08.10.2026 до ручной записи (S01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16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120" w:after="40" w:line="240" w:lineRule="auto"/>
        <w:ind w:firstLine="0"/>
        <w:jc w:val="center"/>
      </w:pPr>
      <w:r>
        <w:rPr>
          <w:b w:val="0"/>
          <w:color w:val="000000"/>
          <w:sz w:val="22"/>
        </w:rPr>
        <w:t>Рисунок 3 – Стенд и количества WORKING 08.10.2026 до ручной записи (S01)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t xml:space="preserve">08.10.2026 чистый запуск по README проверен в отдельном Compose-проекте с новым томом БД. Авторизация и основные сценарии прошли; рабочая WORKING и демонстрационная запись №100001 сохранены. Протокол: </w:t>
      </w:r>
      <w:hyperlink r:id="rIdCleanStartLog">
        <w:r>
          <w:rPr>
            <w:color w:val="0563C1"/>
            <w:u w:val="single"/>
          </w:rPr>
          <w:t>docs/dz1_clean_start.txt</w:t>
        </w:r>
      </w:hyperlink>
      <w:r>
        <w:t>.</w:t>
      </w:r>
    </w:p>
    <w:p>
      <w:pPr>
        <w:pStyle w:val="Heading2"/>
        <w:keepNext/>
        <w:keepLines/>
        <w:pageBreakBefore/>
        <w:spacing w:before="240" w:after="120" w:line="360" w:lineRule="auto"/>
        <w:ind w:firstLine="709"/>
        <w:jc w:val="left"/>
      </w:pPr>
      <w:bookmarkStart w:id="6" w:name="_Toc242370251"/>
      <w:r>
        <w:rPr>
          <w:b/>
          <w:color w:val="000000"/>
        </w:rPr>
        <w:t>1.4 Наполнение базы данных</w:t>
      </w:r>
      <w:bookmarkEnd w:id="6"/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Наполнение детерминировано: random.seed(42), фиксированные даты и id; 20% записей отменены. Услуги длятся 30/45/60 минут, слоты специалиста не пересекаются. Seed заменяет все пять таблиц. В текущей рабочей БД команды seed при финальных проверках не запускались; SMALL восстановлен только в отдельном проверочном проекте. Команды наполнения основного стенда: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docker compose exec -T app python -m app.cli seed --size small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docker compose exec -T app python -m app.cli seed --size working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docker compose exec -T app python -m app.cli data-counts</w:t>
      </w:r>
    </w:p>
    <w:p>
      <w:pPr>
        <w:keepNext/>
        <w:spacing w:before="120" w:after="40" w:line="240" w:lineRule="auto"/>
        <w:ind w:firstLine="0"/>
        <w:jc w:val="left"/>
      </w:pPr>
      <w:r>
        <w:rPr>
          <w:b w:val="0"/>
          <w:color w:val="000000"/>
        </w:rPr>
        <w:t>Таблица 4 – Объём наполнения по сохранённым показаниям БД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268"/>
        <w:gridCol w:w="2324"/>
        <w:gridCol w:w="2268"/>
      </w:tblGrid>
      <w:tr>
        <w:trPr>
          <w:cantSplit/>
          <w:tblHeader/>
        </w:trPr>
        <w:tc>
          <w:tcPr>
            <w:tcW w:type="dxa" w:w="2835"/>
            <w:vAlign w:val="center"/>
            <w:shd w:fill="EDEDED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  <w:tc>
          <w:tcPr>
            <w:tcW w:type="dxa" w:w="2268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SMALL</w:t>
            </w:r>
          </w:p>
        </w:tc>
        <w:tc>
          <w:tcPr>
            <w:tcW w:type="dxa" w:w="2324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WORKING</w:t>
            </w:r>
          </w:p>
        </w:tc>
        <w:tc>
          <w:tcPr>
            <w:tcW w:type="dxa" w:w="2268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Рост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users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2324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1,00×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specialists</w:t>
            </w:r>
          </w:p>
        </w:tc>
        <w:tc>
          <w:tcPr>
            <w:tcW w:type="dxa" w:w="2268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2324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200</w:t>
            </w:r>
          </w:p>
        </w:tc>
        <w:tc>
          <w:tcPr>
            <w:tcW w:type="dxa" w:w="2268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20,00×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services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2324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30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3,00×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slots</w:t>
            </w:r>
          </w:p>
        </w:tc>
        <w:tc>
          <w:tcPr>
            <w:tcW w:type="dxa" w:w="2268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500</w:t>
            </w:r>
          </w:p>
        </w:tc>
        <w:tc>
          <w:tcPr>
            <w:tcW w:type="dxa" w:w="2324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200000</w:t>
            </w:r>
          </w:p>
        </w:tc>
        <w:tc>
          <w:tcPr>
            <w:tcW w:type="dxa" w:w="2268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400,00×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appointments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300</w:t>
            </w:r>
          </w:p>
        </w:tc>
        <w:tc>
          <w:tcPr>
            <w:tcW w:type="dxa" w:w="2324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100000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333,33×</w:t>
            </w:r>
          </w:p>
        </w:tc>
      </w:tr>
    </w:tbl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SHA256 всех строк совпадает до/после каждой серии и после отдельных восстановлений перед baseline и диагностикой. Отпечатки: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SMALL: 7f87de7f62ecead159378f7d6419ea23a6d97f5271e807813a432013bd8a6385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WORKING: 06eb169eacca8fdac92f69337c43e955e16d9429688c4e31198c0f48a5cee50e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На каждой серии создания выполнены 5 прогревочных и 30 измеряемых временных вставок; они удалялись, последовательность PK восстанавливалась вне таймера. Постоянно добавлено измерениями 0 записей. Отмена выполнялась для активной записи id=2 и восстанавливалась между повторами. Ручная запись №100001 относится к последующей демонстрации; без нового seed она увеличивает текущее число строк на одну после отмены. Её не включают в исходные объёмы.</w:t>
      </w:r>
    </w:p>
    <w:p>
      <w:pPr>
        <w:pStyle w:val="Heading1"/>
        <w:keepNext/>
        <w:keepLines/>
        <w:pageBreakBefore/>
        <w:spacing w:before="240" w:after="120" w:line="360" w:lineRule="auto"/>
        <w:ind w:firstLine="709"/>
        <w:jc w:val="left"/>
      </w:pPr>
      <w:bookmarkStart w:id="7" w:name="_Toc242370252"/>
      <w:r>
        <w:rPr>
          <w:b/>
          <w:color w:val="000000"/>
        </w:rPr>
        <w:t>2 Измерения</w:t>
      </w:r>
      <w:bookmarkEnd w:id="7"/>
    </w:p>
    <w:p>
      <w:pPr>
        <w:pStyle w:val="Heading2"/>
        <w:keepNext/>
        <w:keepLines/>
        <w:spacing w:before="240" w:after="120" w:line="360" w:lineRule="auto"/>
        <w:ind w:firstLine="709"/>
        <w:jc w:val="left"/>
      </w:pPr>
      <w:bookmarkStart w:id="8" w:name="_Toc242370253"/>
      <w:r>
        <w:rPr>
          <w:b/>
          <w:color w:val="000000"/>
        </w:rPr>
        <w:t>2.1 Время ответа операций</w:t>
      </w:r>
      <w:bookmarkEnd w:id="8"/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Все десять операций измерены реальными HTTP-запросами к Uvicorn. Обычный HTTPX client.request с stream=False полностью читает ответ до возврата. Таймер perf_counter_ns охватывает этот вызов; подготовка cookie и данных, очистка и запись файлов расположены вне него. Прогрев исключён.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p50/p95 — линейная интерполяция позиции (n−1)×p отсортированной выборки; max — наибольшее значение. В каждой строке 30 учитываемых повторов; времена в мс.</w:t>
      </w:r>
    </w:p>
    <w:p>
      <w:pPr>
        <w:keepNext/>
        <w:spacing w:before="120" w:after="40" w:line="240" w:lineRule="auto"/>
        <w:ind w:firstLine="0"/>
        <w:jc w:val="left"/>
      </w:pPr>
      <w:r>
        <w:rPr>
          <w:b w:val="0"/>
          <w:color w:val="000000"/>
        </w:rPr>
        <w:t>Таблица 5 – HTTP-время двух наполнений и коэффициенты роста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rPr>
          <w:cantSplit/>
          <w:tblHeader/>
        </w:trPr>
        <w:tc>
          <w:tcPr>
            <w:tcW w:type="dxa" w:w="1531"/>
            <w:vAlign w:val="center"/>
            <w:vMerge w:val="restart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Операция</w:t>
            </w:r>
          </w:p>
        </w:tc>
        <w:tc>
          <w:tcPr>
            <w:tcW w:type="dxa" w:w="3060"/>
            <w:vAlign w:val="center"/>
            <w:gridSpan w:val="3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SMALL</w:t>
            </w:r>
          </w:p>
        </w:tc>
        <w:tc>
          <w:tcPr>
            <w:tcW w:type="dxa" w:w="3060"/>
            <w:vAlign w:val="center"/>
            <w:gridSpan w:val="3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WORKING</w:t>
            </w:r>
          </w:p>
        </w:tc>
        <w:tc>
          <w:tcPr>
            <w:tcW w:type="dxa" w:w="2040"/>
            <w:vAlign w:val="center"/>
            <w:gridSpan w:val="2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Рост</w:t>
            </w:r>
          </w:p>
        </w:tc>
      </w:tr>
      <w:tr>
        <w:trPr>
          <w:cantSplit/>
          <w:tblHeader/>
        </w:trPr>
        <w:tc>
          <w:tcPr>
            <w:tcW w:type="dxa" w:w="1531"/>
            <w:vAlign w:val="center"/>
            <w:vMerge/>
            <w:shd w:fill="FFFFFF"/>
          </w:tcPr>
          <w:p/>
        </w:tc>
        <w:tc>
          <w:tcPr>
            <w:tcW w:type="dxa" w:w="1020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p50</w:t>
            </w:r>
          </w:p>
        </w:tc>
        <w:tc>
          <w:tcPr>
            <w:tcW w:type="dxa" w:w="1020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p95</w:t>
            </w:r>
          </w:p>
        </w:tc>
        <w:tc>
          <w:tcPr>
            <w:tcW w:type="dxa" w:w="1020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max</w:t>
            </w:r>
          </w:p>
        </w:tc>
        <w:tc>
          <w:tcPr>
            <w:tcW w:type="dxa" w:w="1020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p50</w:t>
            </w:r>
          </w:p>
        </w:tc>
        <w:tc>
          <w:tcPr>
            <w:tcW w:type="dxa" w:w="1020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p95</w:t>
            </w:r>
          </w:p>
        </w:tc>
        <w:tc>
          <w:tcPr>
            <w:tcW w:type="dxa" w:w="1020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max</w:t>
            </w:r>
          </w:p>
        </w:tc>
        <w:tc>
          <w:tcPr>
            <w:tcW w:type="dxa" w:w="1020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p50</w:t>
            </w:r>
          </w:p>
        </w:tc>
        <w:tc>
          <w:tcPr>
            <w:tcW w:type="dxa" w:w="1020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p95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62,13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66,24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74,59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59,53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62,98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68,60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0,96×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0,95×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Выход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5,32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6,20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6,47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5,44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7,13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8,39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1,02×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1,15×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Услуги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5,84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6,63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7,05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5,16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6,94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7,83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0,88×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1,05×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Специалисты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5,81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6,83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8,01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7,90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9,30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9,95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1,36×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1,36×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Свободные слоты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10,87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12,40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13,63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398,44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475,67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524,49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36,66×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38,36×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Список записей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11,41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14,71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36,19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202,21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292,36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312,16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17,72×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19,87×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Карточка записи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6,81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7,97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8,73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8,67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13,54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14,59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1,27×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1,70×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Создание записи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17,13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18,59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18,76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39,95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55,86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83,06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2,33×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3,01×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Отмена записи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16,74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18,40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19,52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17,94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23,68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24,83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1,07×</w:t>
            </w:r>
          </w:p>
        </w:tc>
        <w:tc>
          <w:tcPr>
            <w:tcW w:type="dxa" w:w="1020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1,29×</w:t>
            </w:r>
          </w:p>
        </w:tc>
      </w:tr>
      <w:tr>
        <w:trPr>
          <w:cantSplit/>
        </w:trPr>
        <w:tc>
          <w:tcPr>
            <w:tcW w:type="dxa" w:w="1531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Сводка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13,89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21,63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33,87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2409,66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3323,66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3502,87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173,54×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153,64×</w:t>
            </w:r>
          </w:p>
        </w:tc>
      </w:tr>
    </w:tbl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Записи выросли в 333,33 раза, слоты — в 400 раз. Ни одна выбранная операция не выросла быстрее основной таблицы; две точки не определяют сложность. При этом p50 сводки вырос в 173,54 раза, свободных слотов — в 36,66, списка — в 17,72, создания — в 2,33.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Практическое правило отбора: рост p50 ≥ 2× и прирост ≥ 5 мс; это не статистический тест. Из дальнейшего разложения исключены вход, выход, услуги, специалисты, карточка и отмена, не удовлетворившие критерию. Это не доказывает независимость их времени от объёма при любых условиях.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Файлы small_baseline.json, working_baseline.json, comparison.json и соответствующие CSV содержат исходные выборки и агрегаты. Рисунок 4 показывает просмотр сохранённых результатов 08.10.2026, а не новый запуск измерений.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523067"/>
            <wp:docPr id="4" name="Picture 4" descr="Просмотр сохранённого сравнения SMALL и WORKING (S04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23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120" w:after="40" w:line="240" w:lineRule="auto"/>
        <w:ind w:firstLine="0"/>
        <w:jc w:val="center"/>
      </w:pPr>
      <w:r>
        <w:rPr>
          <w:b w:val="0"/>
          <w:color w:val="000000"/>
          <w:sz w:val="22"/>
        </w:rPr>
        <w:t>Рисунок 4 – Просмотр сохранённого сравнения SMALL и WORKING (S04)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python -m app.cli measure --size small --warmup 5 --repeats 30</w:t>
      </w:r>
    </w:p>
    <w:p>
      <w:pPr>
        <w:keepNext w:val="0"/>
        <w:keepLines w:val="0"/>
        <w:spacing w:after="40" w:line="240" w:lineRule="auto"/>
        <w:ind w:firstLine="0"/>
        <w:jc w:val="left"/>
      </w:pPr>
      <w:r>
        <w:rPr>
          <w:rFonts w:ascii="Courier New" w:hAnsi="Courier New"/>
          <w:b w:val="0"/>
          <w:color w:val="000000"/>
          <w:sz w:val="20"/>
        </w:rPr>
        <w:t>python -m app.cli measure --size working --warmup 5 --repeats 30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Команды исходных серий выполнялись через docker compose exec -T app после seed. Для просмотра используется python3 scripts/view_measurements.py, не обращающийся к HTTP/БД. При подготовке отчёта измерения не повторялись.</w:t>
      </w:r>
    </w:p>
    <w:p>
      <w:pPr>
        <w:pStyle w:val="Heading2"/>
        <w:keepNext/>
        <w:keepLines/>
        <w:spacing w:before="240" w:after="120" w:line="360" w:lineRule="auto"/>
        <w:ind w:firstLine="709"/>
        <w:jc w:val="left"/>
      </w:pPr>
      <w:bookmarkStart w:id="9" w:name="_Toc242370254"/>
      <w:r>
        <w:rPr>
          <w:b/>
          <w:color w:val="000000"/>
        </w:rPr>
        <w:t>2.2 Разложение времени между приложением и базой данных</w:t>
      </w:r>
      <w:bookmarkEnd w:id="9"/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Для четырёх кандидатов сняты отдельные диагностические серии. SQLAlchemy events before_cursor_execute, after_cursor_execute и handle_error наблюдают cursor.execute и считают запросы. ContextVar ограничивает метрики текущим запросом; X-Measurement-Id связывает их с тем же HTTP-повтором. Запросы и параметры не меняются.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Каждый повтор хранит полное HTTP-время, SQL-сумму, число запросов и разность HTTP − SQL того же повтора. В таблице 6 — средние одних и тех же 30 повторов; SQL-среднее из HTTP-медианы не вычитается.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Диагностика использовала --diagnostic --operations free_slots,appointments_list,appointment_create,summary с 5 прогревами и 30 повторениями на каждом наборе. Файлы small_diagnostic.json и working_diagnostic.json сохранены с raw/summary CSV. p50/p95/max этих серий не подменяют baseline.</w:t>
      </w:r>
    </w:p>
    <w:p>
      <w:pPr>
        <w:keepNext/>
        <w:pageBreakBefore/>
        <w:spacing w:before="120" w:after="40" w:line="240" w:lineRule="auto"/>
        <w:ind w:firstLine="0"/>
        <w:jc w:val="left"/>
      </w:pPr>
      <w:r>
        <w:rPr>
          <w:b w:val="0"/>
          <w:color w:val="000000"/>
        </w:rPr>
        <w:t>Таблица 6 – Диагностические средние полного времени SQL и остатка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417"/>
        <w:gridCol w:w="1417"/>
        <w:gridCol w:w="1361"/>
        <w:gridCol w:w="1757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  <w:shd w:fill="EDEDED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Операция</w:t>
            </w:r>
          </w:p>
        </w:tc>
        <w:tc>
          <w:tcPr>
            <w:tcW w:type="dxa" w:w="1417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Набор</w:t>
            </w:r>
          </w:p>
        </w:tc>
        <w:tc>
          <w:tcPr>
            <w:tcW w:type="dxa" w:w="1417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HTTP, мс</w:t>
            </w:r>
          </w:p>
        </w:tc>
        <w:tc>
          <w:tcPr>
            <w:tcW w:type="dxa" w:w="1361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SQL, мс</w:t>
            </w:r>
          </w:p>
        </w:tc>
        <w:tc>
          <w:tcPr>
            <w:tcW w:type="dxa" w:w="1757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SQL-запросов (min–max)</w:t>
            </w:r>
          </w:p>
        </w:tc>
        <w:tc>
          <w:tcPr>
            <w:tcW w:type="dxa" w:w="1871"/>
            <w:vAlign w:val="center"/>
            <w:shd w:fill="EDEDED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Остаток, мс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Свободные слоты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SMALL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16,62</w:t>
            </w:r>
          </w:p>
        </w:tc>
        <w:tc>
          <w:tcPr>
            <w:tcW w:type="dxa" w:w="1361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4,57</w:t>
            </w:r>
          </w:p>
        </w:tc>
        <w:tc>
          <w:tcPr>
            <w:tcW w:type="dxa" w:w="1757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 (4–4)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12,05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Список записей</w:t>
            </w:r>
          </w:p>
        </w:tc>
        <w:tc>
          <w:tcPr>
            <w:tcW w:type="dxa" w:w="1417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SMALL</w:t>
            </w:r>
          </w:p>
        </w:tc>
        <w:tc>
          <w:tcPr>
            <w:tcW w:type="dxa" w:w="1417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14,06</w:t>
            </w:r>
          </w:p>
        </w:tc>
        <w:tc>
          <w:tcPr>
            <w:tcW w:type="dxa" w:w="1361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4,09</w:t>
            </w:r>
          </w:p>
        </w:tc>
        <w:tc>
          <w:tcPr>
            <w:tcW w:type="dxa" w:w="1757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 (3–3)</w:t>
            </w:r>
          </w:p>
        </w:tc>
        <w:tc>
          <w:tcPr>
            <w:tcW w:type="dxa" w:w="1871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9,97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Создание записи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SMALL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20,88</w:t>
            </w:r>
          </w:p>
        </w:tc>
        <w:tc>
          <w:tcPr>
            <w:tcW w:type="dxa" w:w="1361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5,62</w:t>
            </w:r>
          </w:p>
        </w:tc>
        <w:tc>
          <w:tcPr>
            <w:tcW w:type="dxa" w:w="1757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 (6–6)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15,26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Сводка</w:t>
            </w:r>
          </w:p>
        </w:tc>
        <w:tc>
          <w:tcPr>
            <w:tcW w:type="dxa" w:w="1417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SMALL</w:t>
            </w:r>
          </w:p>
        </w:tc>
        <w:tc>
          <w:tcPr>
            <w:tcW w:type="dxa" w:w="1417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15,81</w:t>
            </w:r>
          </w:p>
        </w:tc>
        <w:tc>
          <w:tcPr>
            <w:tcW w:type="dxa" w:w="1361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3,61</w:t>
            </w:r>
          </w:p>
        </w:tc>
        <w:tc>
          <w:tcPr>
            <w:tcW w:type="dxa" w:w="1757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 (4–4)</w:t>
            </w:r>
          </w:p>
        </w:tc>
        <w:tc>
          <w:tcPr>
            <w:tcW w:type="dxa" w:w="1871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12,20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Свободные слоты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WORKING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409,85</w:t>
            </w:r>
          </w:p>
        </w:tc>
        <w:tc>
          <w:tcPr>
            <w:tcW w:type="dxa" w:w="1361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398,31</w:t>
            </w:r>
          </w:p>
        </w:tc>
        <w:tc>
          <w:tcPr>
            <w:tcW w:type="dxa" w:w="1757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 (4–4)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11,54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Список записей</w:t>
            </w:r>
          </w:p>
        </w:tc>
        <w:tc>
          <w:tcPr>
            <w:tcW w:type="dxa" w:w="1417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WORKING</w:t>
            </w:r>
          </w:p>
        </w:tc>
        <w:tc>
          <w:tcPr>
            <w:tcW w:type="dxa" w:w="1417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208,27</w:t>
            </w:r>
          </w:p>
        </w:tc>
        <w:tc>
          <w:tcPr>
            <w:tcW w:type="dxa" w:w="1361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197,71</w:t>
            </w:r>
          </w:p>
        </w:tc>
        <w:tc>
          <w:tcPr>
            <w:tcW w:type="dxa" w:w="1757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 (3–3)</w:t>
            </w:r>
          </w:p>
        </w:tc>
        <w:tc>
          <w:tcPr>
            <w:tcW w:type="dxa" w:w="1871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10,56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Создание записи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WORKING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37,72</w:t>
            </w:r>
          </w:p>
        </w:tc>
        <w:tc>
          <w:tcPr>
            <w:tcW w:type="dxa" w:w="1361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23,06</w:t>
            </w:r>
          </w:p>
        </w:tc>
        <w:tc>
          <w:tcPr>
            <w:tcW w:type="dxa" w:w="1757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 (6–6)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14,66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2F4F8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Сводка</w:t>
            </w:r>
          </w:p>
        </w:tc>
        <w:tc>
          <w:tcPr>
            <w:tcW w:type="dxa" w:w="1417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WORKING</w:t>
            </w:r>
          </w:p>
        </w:tc>
        <w:tc>
          <w:tcPr>
            <w:tcW w:type="dxa" w:w="1417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2371,65</w:t>
            </w:r>
          </w:p>
        </w:tc>
        <w:tc>
          <w:tcPr>
            <w:tcW w:type="dxa" w:w="1361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316,33</w:t>
            </w:r>
          </w:p>
        </w:tc>
        <w:tc>
          <w:tcPr>
            <w:tcW w:type="dxa" w:w="1757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 (4–4)</w:t>
            </w:r>
          </w:p>
        </w:tc>
        <w:tc>
          <w:tcPr>
            <w:tcW w:type="dxa" w:w="1871"/>
            <w:vAlign w:val="center"/>
            <w:shd w:fill="F2F4F8"/>
          </w:tcPr>
          <w:p>
            <w:pPr>
              <w:spacing w:line="240" w:lineRule="auto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2055,33</w:t>
            </w:r>
          </w:p>
        </w:tc>
      </w:tr>
    </w:tbl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На WORKING SQL составляет 97,18% среднего времени свободных слотов, 94,93% списка и 61,13% создания. У сводки остаток — 86,66%. Число запросов на обоих наборах одинаково: 4/3/6/4. Это не подтверждает SQL-обращение в цикле.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SQL-время включает драйвер и обмен в execute, но не является чистым временем PostgreSQL. Отдельные commit/rollback, ORM-обработка и последующее извлечение результатов не входят в эту сумму. Остаток включает эти действия, сериализацию, ожидания и HTTP; его нельзя назвать чистым временем Python.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685491"/>
            <wp:docPr id="5" name="Picture 5" descr="Просмотр сохранённых диагностических средних двух наполнений (S05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85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120" w:after="40" w:line="240" w:lineRule="auto"/>
        <w:ind w:firstLine="0"/>
        <w:jc w:val="center"/>
      </w:pPr>
      <w:r>
        <w:rPr>
          <w:b w:val="0"/>
          <w:color w:val="000000"/>
          <w:sz w:val="22"/>
        </w:rPr>
        <w:t>Рисунок 5 – Просмотр сохранённых диагностических средних двух наполнений (S05)</w:t>
      </w:r>
    </w:p>
    <w:p>
      <w:pPr>
        <w:pStyle w:val="Heading1"/>
        <w:keepNext/>
        <w:keepLines/>
        <w:pageBreakBefore/>
        <w:spacing w:before="240" w:after="120" w:line="360" w:lineRule="auto"/>
        <w:ind w:firstLine="709"/>
        <w:jc w:val="left"/>
      </w:pPr>
      <w:bookmarkStart w:id="10" w:name="_Toc242370255"/>
      <w:r>
        <w:rPr>
          <w:b/>
          <w:color w:val="000000"/>
        </w:rPr>
        <w:t>3 Гипотезы об узких местах</w:t>
      </w:r>
      <w:bookmarkEnd w:id="10"/>
    </w:p>
    <w:p>
      <w:pPr>
        <w:keepNext/>
        <w:keepLines w:val="0"/>
        <w:spacing w:after="80" w:line="276" w:lineRule="auto"/>
        <w:ind w:firstLine="709"/>
        <w:jc w:val="both"/>
      </w:pPr>
      <w:r>
        <w:rPr>
          <w:b/>
          <w:color w:val="000000"/>
        </w:rPr>
        <w:t>Гипотеза 1 — поиск свободных слотов</w:t>
      </w:r>
    </w:p>
    <w:p>
      <w:pPr>
        <w:keepNext w:val="0"/>
        <w:keepLines/>
        <w:spacing w:after="80" w:line="276" w:lineRule="auto"/>
        <w:ind w:firstLine="709"/>
        <w:jc w:val="both"/>
      </w:pPr>
      <w:r>
        <w:rPr>
          <w:b w:val="0"/>
          <w:color w:val="000000"/>
        </w:rPr>
        <w:t>Установленный факт. p50 вырос с 10,87 до 398,44 мс (36,66×). В диагностике WORKING полное среднее 409,85 мс, SQL 398,31 мс, четыре запроса. Функция free_slots в app/services.py формирует проверку пересечения через коррелированный EXISTS с appointments и вторым представлением slots; этот отбор используется и в COUNT, и в запросе страницы с сортировкой.</w:t>
      </w:r>
    </w:p>
    <w:p>
      <w:pPr>
        <w:keepNext w:val="0"/>
        <w:keepLines/>
        <w:spacing w:after="80" w:line="276" w:lineRule="auto"/>
        <w:ind w:firstLine="709"/>
        <w:jc w:val="both"/>
      </w:pPr>
      <w:r>
        <w:rPr>
          <w:b w:val="0"/>
          <w:color w:val="000000"/>
        </w:rPr>
        <w:t>Предполагаемая причина. Проверка пересечений и обработка большого набора кандидатов в обоих SQL-запросах становятся дорогими при 200000 слотах и 100000 записях. Дополнительных индексов по условиям отбора нет. Это объяснимый кандидат, но конкретный план выполнения, число просмотренных строк и вклад каждого из четырёх запросов не измерены. Утверждать конкретный вид сканирования нельзя.</w:t>
      </w:r>
    </w:p>
    <w:p>
      <w:pPr>
        <w:keepNext/>
        <w:keepLines w:val="0"/>
        <w:spacing w:after="80" w:line="276" w:lineRule="auto"/>
        <w:ind w:firstLine="709"/>
        <w:jc w:val="both"/>
      </w:pPr>
      <w:r>
        <w:rPr>
          <w:b/>
          <w:color w:val="000000"/>
        </w:rPr>
        <w:t>Гипотеза 2 — список записей</w:t>
      </w:r>
    </w:p>
    <w:p>
      <w:pPr>
        <w:keepNext w:val="0"/>
        <w:keepLines/>
        <w:spacing w:after="80" w:line="276" w:lineRule="auto"/>
        <w:ind w:firstLine="709"/>
        <w:jc w:val="both"/>
      </w:pPr>
      <w:r>
        <w:rPr>
          <w:b w:val="0"/>
          <w:color w:val="000000"/>
        </w:rPr>
        <w:t>Установленный факт. p50 вырос с 11,41 до 202,21 мс (17,72×). Диагностическое среднее WORKING 208,27 мс, SQL 197,71 мс, три запроса. appointment_list использует JOIN записи со слотом, специалистом, услугой и оператором; отдельно вычисляет COUNT результата и получает 20 строк после ORDER BY starts_at DESC, appointment.id DESC.</w:t>
      </w:r>
    </w:p>
    <w:p>
      <w:pPr>
        <w:keepNext w:val="0"/>
        <w:keepLines/>
        <w:spacing w:after="80" w:line="276" w:lineRule="auto"/>
        <w:ind w:firstLine="709"/>
        <w:jc w:val="both"/>
      </w:pPr>
      <w:r>
        <w:rPr>
          <w:b w:val="0"/>
          <w:color w:val="000000"/>
        </w:rPr>
        <w:t>Предполагаемая причина. Подсчёт всего набора и сортировка связанных записей обрабатывают существенно больше данных, чем возвращаемые 20 строк. Рост SQL-времени при неизменных трёх запросах поддерживает гипотезу о стоимости самих запросов, а не об увеличении их числа. Какой запрос преобладает — COUNT или получение страницы — суммарный таймер не устанавливает.</w:t>
      </w:r>
    </w:p>
    <w:p>
      <w:pPr>
        <w:keepNext/>
        <w:keepLines w:val="0"/>
        <w:spacing w:after="80" w:line="276" w:lineRule="auto"/>
        <w:ind w:firstLine="709"/>
        <w:jc w:val="both"/>
      </w:pPr>
      <w:r>
        <w:rPr>
          <w:b/>
          <w:color w:val="000000"/>
        </w:rPr>
        <w:t>Гипотеза 3 — сводка</w:t>
      </w:r>
    </w:p>
    <w:p>
      <w:pPr>
        <w:keepNext w:val="0"/>
        <w:keepLines/>
        <w:spacing w:after="80" w:line="276" w:lineRule="auto"/>
        <w:ind w:firstLine="709"/>
        <w:jc w:val="both"/>
      </w:pPr>
      <w:r>
        <w:rPr>
          <w:b w:val="0"/>
          <w:color w:val="000000"/>
        </w:rPr>
        <w:t>Установленный факт. p50 вырос с 13,89 до 2409,66 мс (173,54×). Диагностическое среднее WORKING 2371,65 мс, SQL 316,33 мс, остаток 2055,33 мс, четыре запроса. summary читает все интервалы слотов и записей периода, формирует списки по специалистам, затем вызывает merged_seconds с сортировкой и объединением интервалов. Для годового периода seed это 200000 слотов и 100000 записей, а не одна страница; ответ содержит показатели 200 специалистов.</w:t>
      </w:r>
    </w:p>
    <w:p>
      <w:pPr>
        <w:keepNext w:val="0"/>
        <w:keepLines/>
        <w:spacing w:after="80" w:line="276" w:lineRule="auto"/>
        <w:ind w:firstLine="709"/>
        <w:jc w:val="both"/>
      </w:pPr>
      <w:r>
        <w:rPr>
          <w:b w:val="0"/>
          <w:color w:val="000000"/>
        </w:rPr>
        <w:t>Предполагаемая причина. Материализация, преобразование дат, обход больших результатов и обработка интервалов существенно увеличивают остаток вне execute. Числа согласуются с этим кодом, но остаток не равен CPU-времени Python: в нём также есть работа драйвера/ORM, передача и извлечение результатов, ожидания и HTTP. Профилирование на данном этапе не выполнялось, поэтому доли этих действий не установлены.</w:t>
      </w:r>
    </w:p>
    <w:p>
      <w:pPr>
        <w:keepNext/>
        <w:keepLines w:val="0"/>
        <w:spacing w:after="80" w:line="276" w:lineRule="auto"/>
        <w:ind w:firstLine="709"/>
        <w:jc w:val="both"/>
      </w:pPr>
      <w:r>
        <w:rPr>
          <w:b/>
          <w:color w:val="000000"/>
        </w:rPr>
        <w:t>Гипотеза 4 — создание записи</w:t>
      </w:r>
    </w:p>
    <w:p>
      <w:pPr>
        <w:keepNext w:val="0"/>
        <w:keepLines/>
        <w:spacing w:after="80" w:line="276" w:lineRule="auto"/>
        <w:ind w:firstLine="709"/>
        <w:jc w:val="both"/>
      </w:pPr>
      <w:r>
        <w:rPr>
          <w:b w:val="0"/>
          <w:color w:val="000000"/>
        </w:rPr>
        <w:t>Установленный факт. p50 вырос с 17,13 до 39,95 мс (2,33×). Диагностическое среднее WORKING 37,72 мс, SQL 23,06 мс, шесть запросов; на SMALL SQL-среднее 5,62 мс. create_appointment блокирует выбранный слот по PK, читает услугу, проверяет конфликты JOIN appointments/slots по специалисту, статусу и границам интервала, вставляет запись и получает полную карточку.</w:t>
      </w:r>
    </w:p>
    <w:p>
      <w:pPr>
        <w:keepNext w:val="0"/>
        <w:keepLines/>
        <w:spacing w:after="80" w:line="276" w:lineRule="auto"/>
        <w:ind w:firstLine="709"/>
        <w:jc w:val="both"/>
      </w:pPr>
      <w:r>
        <w:rPr>
          <w:b w:val="0"/>
          <w:color w:val="000000"/>
        </w:rPr>
        <w:t>Предполагаемая причина. Проверка отсутствия пересечения по большому набору записей может давать основную часть роста SQL-времени. Количество запросов не изменилось, поэтому гипотеза касается их стоимости. Отдельно не измерены проверка конфликта, вставка и запрос карточки; назначить весь SQL-прирост одной проверке на основании суммарного таймера нельзя.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/>
          <w:color w:val="000000"/>
        </w:rPr>
        <w:t>Очевидные ошибки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При проверке измерителя и выбранных операций не выявлены дефекты, требующие пересъёма этих серий. Итоговый прогон контракта и измерителя подтвердил 60 успешных тестов; таймер, прогрев, восстановление состояния и изоляция SQL-метрик проверены. COUNT и запрос страницы дают разные результаты и не являются случайным дублированием. Одно число SQL-запросов не доказывает отсутствие любых лишних обращений; полного трассирования всех параметров нет.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/>
          <w:color w:val="000000"/>
        </w:rPr>
        <w:t>Ограничения измерений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Один последовательный клиент и один сценарий параметров на операцию не заменяют нагрузочное испытание. Время API не включает браузерную отрисовку. Клиент и сервер делят ресурсы Docker/WSL2; ожидания ОС, autovacuum и физическое состояние буферов/статистики отдельно не фиксировались. Восстановление сохраняет логические строки, а не одинаковое MVCC-состояние; подготовка может прогревать страницы.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Диагностика имеет собственные затраты наблюдения и снята отдельно. 30 повторов дают описательные p50/p95/max; независимые серии и доверительные интервалы не исследованы. SQL-сумма не разделяет отдельные запросы и не измеряет CPU-профиль. Гипотезы требуют дальнейшей проверки; оптимизация здесь не выполнялась.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t>Чистый запуск с новым томом подтверждён на текущем компьютере; запуск на чужой машине отдельно не проверялся.</w:t>
      </w:r>
    </w:p>
    <w:p>
      <w:pPr>
        <w:pStyle w:val="Heading1"/>
        <w:keepNext/>
        <w:keepLines/>
        <w:pageBreakBefore/>
        <w:spacing w:before="0" w:after="120" w:line="360" w:lineRule="auto"/>
        <w:ind w:firstLine="0"/>
        <w:jc w:val="center"/>
      </w:pPr>
      <w:bookmarkStart w:id="11" w:name="_Toc242370256"/>
      <w:r>
        <w:rPr>
          <w:b/>
          <w:color w:val="000000"/>
        </w:rPr>
        <w:t>ЗАКЛЮЧЕНИЕ</w:t>
      </w:r>
      <w:bookmarkEnd w:id="11"/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Цель работы достигнута: сервис варианта 3 реализован и исходные показатели получены до оптимизации.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Для этого решены следующие задачи: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1. Реализованы сервер, клиент, авторизация и основные сценарии с тремя обязательными экранами.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2. Описаны пять таблиц и десять операций JSON API.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3. Итоговый прогон завершился 60 успешными проверками, 1 предупреждением, за 15,11 с; код завершения 0. Изоляция от рабочей схемы подтверждена.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4. Созданы SMALL с 300 и WORKING со 100000 записями.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5. Сняты по 30 HTTP-повторов десяти операций на обоих объёмах после пяти прогревов.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6. Для четырёх операций получено разложение на SQL и остаток на обоих наборах.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7. Сформулированы четыре гипотезы с числовым обоснованием и опорой на код.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8. Проверены очевидные ошибки, результаты оформлены в редактируемые таблицы и дополнены иллюстрациями.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Главные кандидаты — сводка, свободные слоты, список и создание. Для сводки p50 WORKING 2409,66 мс, диагностический остаток 2055,33 мс. У свободных слотов SQL-среднее 398,31 мс из полного 409,85 мс, у списка — 197,71 из 208,27 мс. Это направления исследования, а не доказательство конкретных причин и эффекта оптимизации.</w:t>
      </w:r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Измерительные JSON/CSV, исходники и данные текущей WORKING при финальных проверках не менялись; пробное наполнение выполнялось в отдельном новом томе. ДЗ2/ДЗ3, дополнительные индексы, кеширование, нагрузочные испытания и профилирование не выполнялись.</w:t>
      </w:r>
    </w:p>
    <w:p>
      <w:pPr>
        <w:pStyle w:val="Heading1"/>
        <w:keepNext/>
        <w:keepLines/>
        <w:pageBreakBefore/>
        <w:spacing w:before="0" w:after="120" w:line="360" w:lineRule="auto"/>
        <w:ind w:firstLine="0"/>
        <w:jc w:val="center"/>
      </w:pPr>
      <w:bookmarkStart w:id="12" w:name="_Toc242370257"/>
      <w:r>
        <w:rPr>
          <w:b/>
          <w:color w:val="000000"/>
        </w:rPr>
        <w:t>ПРИЛОЖЕНИЕ А РУЧНАЯ ОТМЕНА ЗАПИСИ</w:t>
      </w:r>
      <w:bookmarkEnd w:id="12"/>
    </w:p>
    <w:p>
      <w:pPr>
        <w:keepNext w:val="0"/>
        <w:keepLines w:val="0"/>
        <w:spacing w:after="80" w:line="276" w:lineRule="auto"/>
        <w:ind w:firstLine="709"/>
        <w:jc w:val="both"/>
      </w:pPr>
      <w:r>
        <w:rPr>
          <w:b w:val="0"/>
          <w:color w:val="000000"/>
        </w:rPr>
        <w:t>Кадр S14 подтверждает отмену той же записи №100001 08.10.2026 в 09:16 МСК. История и связанные сущности сохранены; интерфейс сообщает об освобождении слота. Демонстрация выполнена после измерений и не включена в их выборки.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0000" cy="3952991"/>
            <wp:docPr id="6" name="Picture 6" descr="Карточка №100001 после ручной отмены 08.10.2026 (S14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952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120" w:after="40" w:line="240" w:lineRule="auto"/>
        <w:ind w:firstLine="0"/>
        <w:jc w:val="center"/>
      </w:pPr>
      <w:r>
        <w:rPr>
          <w:b w:val="0"/>
          <w:color w:val="000000"/>
          <w:sz w:val="22"/>
        </w:rPr>
        <w:t>Рисунок 6 – Карточка №100001 после ручной отмены 08.10.2026 (S14)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PAGE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>1</w: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107B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107B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107B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Repository" Type="http://schemas.openxmlformats.org/officeDocument/2006/relationships/hyperlink" Target="https://github.com/SergeySRE/oksp_dz1_RodionovSO" TargetMode="External"/><Relationship Id="rIdCleanStartLog" Type="http://schemas.openxmlformats.org/officeDocument/2006/relationships/hyperlink" Target="dz1_clean_start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Домашнее задание 1 Разработка сервиса и исходные измерения</dc:title>
  <dc:subject/>
  <dc:creator>Родионов Сергей Олегович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