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firstLine="709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240" w:before="0" w:after="0"/>
        <w:ind w:firstLine="709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№ 1</w:t>
      </w:r>
    </w:p>
    <w:p>
      <w:pPr>
        <w:pStyle w:val="Normal"/>
        <w:spacing w:lineRule="auto" w:line="240" w:before="0" w:after="0"/>
        <w:ind w:firstLine="709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 Договору №_____ от «___» __________ 20__г.</w:t>
      </w:r>
    </w:p>
    <w:p>
      <w:pPr>
        <w:pStyle w:val="Normal"/>
        <w:spacing w:lineRule="auto" w:line="240" w:before="0" w:after="0"/>
        <w:ind w:firstLine="709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1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18"/>
          <w:szCs w:val="28"/>
        </w:rPr>
      </w:r>
    </w:p>
    <w:tbl>
      <w:tblPr>
        <w:tblW w:w="10201" w:type="dxa"/>
        <w:jc w:val="left"/>
        <w:tblInd w:w="-18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10"/>
        <w:gridCol w:w="2180"/>
        <w:gridCol w:w="3389"/>
        <w:gridCol w:w="2722"/>
      </w:tblGrid>
      <w:tr>
        <w:trPr>
          <w:trHeight w:val="1079" w:hRule="atLeast"/>
        </w:trPr>
        <w:tc>
          <w:tcPr>
            <w:tcW w:w="10201" w:type="dxa"/>
            <w:gridSpan w:val="4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b/>
                <w:color w:val="000000"/>
                <w:sz w:val="28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4"/>
              </w:rPr>
              <w:t>Техническое задание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 оказание услуг по аренде вычислительных ресурсов на базе облачной платформы </w:t>
            </w:r>
          </w:p>
          <w:tbl>
            <w:tblPr>
              <w:tblW w:w="5000" w:type="pct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 w:noHBand="0" w:noVBand="0" w:firstColumn="0" w:lastRow="0" w:lastColumn="0" w:firstRow="0"/>
            </w:tblPr>
            <w:tblGrid>
              <w:gridCol w:w="4993"/>
              <w:gridCol w:w="4991"/>
            </w:tblGrid>
            <w:tr>
              <w:trPr/>
              <w:tc>
                <w:tcPr>
                  <w:tcW w:w="4993" w:type="dxa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</w:p>
              </w:tc>
              <w:tc>
                <w:tcPr>
                  <w:tcW w:w="4991" w:type="dxa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r>
          </w:p>
        </w:tc>
      </w:tr>
      <w:tr>
        <w:trPr>
          <w:trHeight w:val="320" w:hRule="atLeast"/>
        </w:trPr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1. Наименование закупаемых услуг.</w:t>
            </w:r>
          </w:p>
        </w:tc>
      </w:tr>
      <w:tr>
        <w:trPr>
          <w:trHeight w:val="330" w:hRule="atLeast"/>
        </w:trPr>
        <w:tc>
          <w:tcPr>
            <w:tcW w:w="74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 (описание) услуги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Ед. изм.</w:t>
            </w:r>
          </w:p>
        </w:tc>
      </w:tr>
      <w:tr>
        <w:trPr>
          <w:trHeight w:val="345" w:hRule="atLeast"/>
        </w:trPr>
        <w:tc>
          <w:tcPr>
            <w:tcW w:w="747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Услуга по аренде Виртуального процессора.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В рамках данной услуги Исполнитель предоставляет ядро физического процессора, выделяемого в виде вычислительного ресурса виртуальной машине облачной платформы. 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 шт.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</w:tc>
      </w:tr>
      <w:tr>
        <w:trPr>
          <w:trHeight w:val="345" w:hRule="atLeast"/>
        </w:trPr>
        <w:tc>
          <w:tcPr>
            <w:tcW w:w="747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Услуга по аренде Виртуальной памяти.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В рамках данной услуги Исполнитель предоставляет оперативную память физического сервера, выделяемого виртуальной машине облачной платформы.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 Гб.</w:t>
            </w:r>
          </w:p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45" w:hRule="atLeast"/>
        </w:trPr>
        <w:tc>
          <w:tcPr>
            <w:tcW w:w="747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Услуга по аренде Виртуального дискового пространства HDD.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Виртуальное дисковое пространство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HDD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— это файл, внутри которого хранится все, что записывает виртуальная машина облачной платформы на дисковое устройство, работающее по технологии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HDD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, со скоростью чтения информации не менее 320 IOPS.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 Гб.</w:t>
            </w:r>
          </w:p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45" w:hRule="atLeast"/>
        </w:trPr>
        <w:tc>
          <w:tcPr>
            <w:tcW w:w="747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Услуга по аренде Виртуального дискового пространства SSD (тип 1).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Виртуальное дисковое пространство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SSD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тип 1— это файл, внутри которого хранится все, что записывает виртуальная машина облачной платформы на дисковое устройство, работающее по технологии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SSD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, со скоростью чтения информации не менее 7 000 IOPS.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 Гб.</w:t>
            </w:r>
          </w:p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45" w:hRule="atLeast"/>
        </w:trPr>
        <w:tc>
          <w:tcPr>
            <w:tcW w:w="747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Услуга по аренде Виртуального дискового пространства для резервного копирования.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Виртуальное дисковое пространство для резервного копирования – это файл, внутри которого хранится все, что записывает с целью резервного копирования данных виртуальная машина облачной платформы на дисковое устройство (дополнительные требования, в том числе по скорости чтения не предъявляются). 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 Гб.</w:t>
            </w:r>
          </w:p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45" w:hRule="atLeast"/>
        </w:trPr>
        <w:tc>
          <w:tcPr>
            <w:tcW w:w="747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Услуга по аренде внешнего IP-адреса.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Внешний IP-адрес – это ресурс облачной платформы, который предназначен для выхода в глобальную сеть Интернет размещаемых в облачной платформе информационных систем.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 шт.</w:t>
            </w:r>
          </w:p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</w:tc>
      </w:tr>
      <w:tr>
        <w:trPr>
          <w:trHeight w:val="345" w:hRule="atLeast"/>
        </w:trPr>
        <w:tc>
          <w:tcPr>
            <w:tcW w:w="747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Услуга по предоставлению безлимитного, резервированного доступа в интернет на гарантированной скорости 1 Гбит/с.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Доступ в интернет на скорости 1 Гбит/с, который предоставляется информационным системам облачной платформы без учета входящего и исходящего трафика. Доступ предоставляется с резервированием за счет использования двух независимых интернет-каналов.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 Гбит/с</w:t>
            </w:r>
          </w:p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</w:tc>
      </w:tr>
      <w:tr>
        <w:trPr>
          <w:trHeight w:val="345" w:hRule="atLeast"/>
        </w:trPr>
        <w:tc>
          <w:tcPr>
            <w:tcW w:w="747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Услуга по аренде Vipnet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2000 (Кластер). </w:t>
            </w:r>
          </w:p>
          <w:p>
            <w:pPr>
              <w:pStyle w:val="Normal"/>
              <w:spacing w:lineRule="auto" w:line="240" w:before="0" w:after="0"/>
              <w:rPr>
                <w:highlight w:val="none"/>
                <w:shd w:fill="FFFF00" w:val="clear"/>
              </w:rPr>
            </w:pPr>
            <w:r>
              <w:rPr>
                <w:rFonts w:ascii="Times New Roman" w:hAnsi="Times New Roman"/>
                <w:sz w:val="24"/>
                <w:szCs w:val="24"/>
                <w:shd w:fill="FFFF00" w:val="clear"/>
              </w:rPr>
              <w:t xml:space="preserve">Услуга по предоставлению в аренду </w:t>
            </w:r>
            <w:r>
              <w:rPr>
                <w:rFonts w:ascii="Times New Roman" w:hAnsi="Times New Roman"/>
                <w:bCs/>
                <w:sz w:val="24"/>
                <w:szCs w:val="24"/>
                <w:shd w:fill="FFFF00" w:val="clear"/>
              </w:rPr>
              <w:t>программно-аппаратного комплекса криптографической защиты информации</w:t>
            </w:r>
            <w:r>
              <w:rPr>
                <w:rFonts w:ascii="Times New Roman" w:hAnsi="Times New Roman"/>
                <w:sz w:val="24"/>
                <w:szCs w:val="24"/>
                <w:shd w:fill="FFFF00" w:val="clear"/>
              </w:rPr>
              <w:t xml:space="preserve"> Vipnet </w:t>
            </w:r>
            <w:r>
              <w:rPr>
                <w:rFonts w:ascii="Times New Roman" w:hAnsi="Times New Roman"/>
                <w:sz w:val="24"/>
                <w:szCs w:val="24"/>
                <w:shd w:fill="FFFF00" w:val="clear"/>
                <w:lang w:val="en-US"/>
              </w:rPr>
              <w:t>VA</w:t>
            </w:r>
            <w:r>
              <w:rPr>
                <w:rFonts w:ascii="Times New Roman" w:hAnsi="Times New Roman"/>
                <w:sz w:val="24"/>
                <w:szCs w:val="24"/>
                <w:shd w:fill="FFFF00" w:val="clear"/>
              </w:rPr>
              <w:t>2000 в режиме кластеризации (дублирования компонентов оборудования).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345" w:hRule="atLeast"/>
        </w:trPr>
        <w:tc>
          <w:tcPr>
            <w:tcW w:w="747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highlight w:val="none"/>
                <w:shd w:fill="FFFF00" w:val="clear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shd w:fill="FFFF00" w:val="clear"/>
              </w:rPr>
              <w:t>Услуга по аренде межсетевого экрана UserGate VE250 (кластер).</w:t>
            </w:r>
          </w:p>
          <w:p>
            <w:pPr>
              <w:pStyle w:val="Normal"/>
              <w:spacing w:lineRule="auto" w:line="240" w:before="0" w:after="0"/>
              <w:rPr>
                <w:highlight w:val="none"/>
                <w:shd w:fill="FFFF00" w:val="clear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shd w:fill="FFFF00" w:val="clear"/>
              </w:rPr>
              <w:t xml:space="preserve">Межсетевой экран — базовый элемент защиты приложений и сервисов облачной платформы. Основная его задача заключается в отслеживании и фильтрации сетевых пакетов: межсетевой экран либо блокирует, либо разрешает передачу пакетов данных. </w:t>
            </w:r>
            <w:r>
              <w:rPr>
                <w:rFonts w:ascii="Times New Roman" w:hAnsi="Times New Roman"/>
                <w:sz w:val="24"/>
                <w:szCs w:val="24"/>
                <w:shd w:fill="FFFF00" w:val="clear"/>
              </w:rPr>
              <w:t xml:space="preserve">Услуга аренды сетевого устройства с предустановленным программным обеспечением </w:t>
            </w:r>
            <w:r>
              <w:rPr>
                <w:rFonts w:ascii="Times New Roman" w:hAnsi="Times New Roman"/>
                <w:bCs/>
                <w:sz w:val="24"/>
                <w:szCs w:val="24"/>
                <w:shd w:fill="FFFF00" w:val="clear"/>
              </w:rPr>
              <w:t>UserGate (</w:t>
            </w:r>
            <w:r>
              <w:rPr>
                <w:rFonts w:ascii="Times New Roman" w:hAnsi="Times New Roman"/>
                <w:sz w:val="24"/>
                <w:szCs w:val="24"/>
                <w:shd w:fill="FFFF00" w:val="clear"/>
              </w:rPr>
              <w:t xml:space="preserve">услуга может оказываться в виде аренды виртуальной машины облачной платформы). </w:t>
            </w:r>
          </w:p>
          <w:p>
            <w:pPr>
              <w:pStyle w:val="Normal"/>
              <w:spacing w:lineRule="auto" w:line="240" w:before="0" w:after="0"/>
              <w:rPr>
                <w:highlight w:val="none"/>
                <w:shd w:fill="FFFF00" w:val="clear"/>
              </w:rPr>
            </w:pPr>
            <w:r>
              <w:rPr>
                <w:rFonts w:ascii="Times New Roman" w:hAnsi="Times New Roman"/>
                <w:sz w:val="24"/>
                <w:szCs w:val="24"/>
                <w:shd w:fill="FFFF00" w:val="clear"/>
              </w:rPr>
              <w:t>Услуга предоставляется в режиме кластеризации - дублирования компонентов.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 шт.</w:t>
            </w:r>
          </w:p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r>
          </w:p>
        </w:tc>
      </w:tr>
      <w:tr>
        <w:trPr>
          <w:trHeight w:val="345" w:hRule="atLeast"/>
        </w:trPr>
        <w:tc>
          <w:tcPr>
            <w:tcW w:w="747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Предоставление Услуги по администрированию кластера межсетевых экранов.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В состав Услуги входят работы по настройке параметров работы межсетевого экрана по запросу Заказчика.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345" w:hRule="atLeast"/>
        </w:trPr>
        <w:tc>
          <w:tcPr>
            <w:tcW w:w="747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Услуга по аренде </w:t>
            </w:r>
            <w:r>
              <w:rPr>
                <w:rFonts w:ascii="Times New Roman" w:hAnsi="Times New Roman"/>
                <w:sz w:val="24"/>
                <w:szCs w:val="24"/>
              </w:rPr>
              <w:t>Виртуального дискового пространства на быстрых носителях информации типа SSD тип 2.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Виртуальное дисковое пространство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SSD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тип 2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— это файл, внутри которого хранится все, что записывает виртуальная машина облачной платформы на дисковое устройство, работающее по технологии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SSD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, со скоростью чтения информации не менее 25 000 IOPS.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 Гб</w:t>
            </w:r>
          </w:p>
        </w:tc>
      </w:tr>
      <w:tr>
        <w:trPr>
          <w:trHeight w:val="345" w:hRule="atLeast"/>
        </w:trPr>
        <w:tc>
          <w:tcPr>
            <w:tcW w:w="747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highlight w:val="none"/>
                <w:shd w:fill="FFFF00" w:val="clear"/>
              </w:rPr>
            </w:pPr>
            <w:r>
              <w:rPr>
                <w:rFonts w:ascii="Times New Roman" w:hAnsi="Times New Roman"/>
                <w:sz w:val="24"/>
                <w:szCs w:val="24"/>
                <w:shd w:fill="FFFF00" w:val="clear"/>
              </w:rPr>
              <w:t xml:space="preserve">Услуга по аренде </w:t>
            </w:r>
            <w:r>
              <w:rPr>
                <w:rFonts w:ascii="Times New Roman" w:hAnsi="Times New Roman"/>
                <w:color w:val="000000"/>
                <w:shd w:fill="FFFF00" w:val="clear"/>
              </w:rPr>
              <w:t xml:space="preserve">«Антивирус Kaspersky для виртуальных и облачных сред». </w:t>
            </w:r>
            <w:r>
              <w:rPr>
                <w:rFonts w:ascii="Times New Roman" w:hAnsi="Times New Roman"/>
                <w:sz w:val="24"/>
                <w:szCs w:val="24"/>
                <w:shd w:fill="FFFF00" w:val="clear"/>
              </w:rPr>
              <w:t xml:space="preserve">Предоставление во временное использование в рамках облачной платформы лицензии на программное обеспечение </w:t>
            </w:r>
            <w:r>
              <w:rPr>
                <w:rFonts w:ascii="Times New Roman" w:hAnsi="Times New Roman"/>
                <w:color w:val="000000"/>
                <w:shd w:fill="FFFF00" w:val="clear"/>
              </w:rPr>
              <w:t>«Антивирус Kaspersky для виртуальных и облачных сред».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345" w:hRule="atLeast"/>
        </w:trPr>
        <w:tc>
          <w:tcPr>
            <w:tcW w:w="747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highlight w:val="none"/>
                <w:shd w:fill="FFFF00" w:val="clear"/>
              </w:rPr>
            </w:pPr>
            <w:r>
              <w:rPr>
                <w:rFonts w:ascii="Times New Roman" w:hAnsi="Times New Roman"/>
                <w:sz w:val="24"/>
                <w:szCs w:val="24"/>
                <w:shd w:fill="FFFF00" w:val="clear"/>
              </w:rPr>
              <w:t>Услуги по предоставлению СЗИ «Secret Net LSP».</w:t>
            </w:r>
          </w:p>
          <w:p>
            <w:pPr>
              <w:pStyle w:val="Normal"/>
              <w:spacing w:lineRule="auto" w:line="240" w:before="0" w:after="0"/>
              <w:rPr>
                <w:highlight w:val="none"/>
                <w:shd w:fill="FFFF00" w:val="clear"/>
              </w:rPr>
            </w:pPr>
            <w:r>
              <w:rPr>
                <w:rFonts w:ascii="Times New Roman" w:hAnsi="Times New Roman"/>
                <w:sz w:val="24"/>
                <w:szCs w:val="24"/>
                <w:shd w:fill="FFFF00" w:val="clear"/>
              </w:rPr>
              <w:t>Предоставление во временное использование в рамках облачной платформы лицензии на программное обеспечение системы защиты информации «Secret Net LSP».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345" w:hRule="atLeast"/>
        </w:trPr>
        <w:tc>
          <w:tcPr>
            <w:tcW w:w="747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highlight w:val="none"/>
                <w:shd w:fill="FFFF00" w:val="clear"/>
              </w:rPr>
            </w:pPr>
            <w:r>
              <w:rPr>
                <w:rFonts w:ascii="Times New Roman" w:hAnsi="Times New Roman"/>
                <w:sz w:val="24"/>
                <w:szCs w:val="24"/>
                <w:shd w:fill="FFFF00" w:val="clear"/>
              </w:rPr>
              <w:t>Услуги по предоставлению СЗИ Secret Net Studio.</w:t>
            </w:r>
          </w:p>
          <w:p>
            <w:pPr>
              <w:pStyle w:val="Normal"/>
              <w:spacing w:lineRule="auto" w:line="240" w:before="0" w:after="0"/>
              <w:rPr>
                <w:highlight w:val="none"/>
                <w:shd w:fill="FFFF00" w:val="clear"/>
              </w:rPr>
            </w:pPr>
            <w:r>
              <w:rPr>
                <w:rFonts w:ascii="Times New Roman" w:hAnsi="Times New Roman"/>
                <w:sz w:val="24"/>
                <w:szCs w:val="24"/>
                <w:shd w:fill="FFFF00" w:val="clear"/>
              </w:rPr>
              <w:t>Предоставление во временное использование в рамках облачной платформы лицензии на программное обеспечение системы защиты информации «Secret Net Studio».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345" w:hRule="atLeast"/>
        </w:trPr>
        <w:tc>
          <w:tcPr>
            <w:tcW w:w="747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Услуга по предоставлению доступа к облачному хранилищу. Включает в себя: 2Тб пространства для пользовательских файлов, сервис резервного копирования, сервис технической поддержки и услугу по администрированию, защищённый контур на базе кластера виртуального межсетевого экрана UserGate.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шт.</w:t>
            </w:r>
          </w:p>
        </w:tc>
      </w:tr>
      <w:tr>
        <w:trPr>
          <w:trHeight w:val="345" w:hRule="atLeast"/>
        </w:trPr>
        <w:tc>
          <w:tcPr>
            <w:tcW w:w="747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</w:rPr>
              <w:t xml:space="preserve">Услуга по предоставлению СЗИ vGate. </w:t>
            </w:r>
            <w:r>
              <w:rPr>
                <w:rFonts w:ascii="Times New Roman" w:hAnsi="Times New Roman"/>
                <w:sz w:val="24"/>
                <w:szCs w:val="24"/>
              </w:rPr>
              <w:t>Предоставление во временное использование в рамках облачной платформы</w:t>
            </w:r>
            <w:r>
              <w:rPr>
                <w:rFonts w:ascii="Times New Roman" w:hAnsi="Times New Roman"/>
                <w:color w:val="000000"/>
              </w:rPr>
              <w:t xml:space="preserve"> права на использование Средства защиты информации vGate R2 Enterprise Plus (за 1 физический процессор на защищаемом хосте)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шт.</w:t>
            </w:r>
          </w:p>
        </w:tc>
      </w:tr>
      <w:tr>
        <w:trPr>
          <w:trHeight w:val="345" w:hRule="atLeast"/>
        </w:trPr>
        <w:tc>
          <w:tcPr>
            <w:tcW w:w="747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highlight w:val="none"/>
                <w:shd w:fill="FFFF00" w:val="clear"/>
              </w:rPr>
            </w:pPr>
            <w:r>
              <w:rPr>
                <w:rFonts w:ascii="Times New Roman" w:hAnsi="Times New Roman"/>
                <w:color w:val="000000"/>
                <w:shd w:fill="FFFF00" w:val="clear"/>
              </w:rPr>
              <w:t xml:space="preserve">Услуга по предоставлению ПАК "Cоболь". </w:t>
            </w:r>
            <w:r>
              <w:rPr>
                <w:rFonts w:ascii="Times New Roman" w:hAnsi="Times New Roman"/>
                <w:sz w:val="24"/>
                <w:szCs w:val="24"/>
                <w:shd w:fill="FFFF00" w:val="clear"/>
              </w:rPr>
              <w:t>Предоставление во временное использование в рамках облачной платформы</w:t>
            </w:r>
            <w:r>
              <w:rPr>
                <w:rFonts w:ascii="Times New Roman" w:hAnsi="Times New Roman"/>
                <w:color w:val="000000"/>
                <w:shd w:fill="FFFF00" w:val="clear"/>
              </w:rPr>
              <w:t xml:space="preserve"> доступа к ПАК "Соболь" версия 4, сертификат ФСТЭК (за 1 физический хост)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шт.</w:t>
            </w:r>
          </w:p>
        </w:tc>
      </w:tr>
      <w:tr>
        <w:trPr>
          <w:trHeight w:val="168" w:hRule="atLeast"/>
        </w:trPr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2. Требования к услугам.</w:t>
            </w:r>
          </w:p>
        </w:tc>
      </w:tr>
      <w:tr>
        <w:trPr>
          <w:trHeight w:val="708" w:hRule="atLeast"/>
        </w:trPr>
        <w:tc>
          <w:tcPr>
            <w:tcW w:w="19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1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Нормативные документы, согласно которым установлены требования</w:t>
            </w:r>
          </w:p>
        </w:tc>
        <w:tc>
          <w:tcPr>
            <w:tcW w:w="611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Порядок удаленного доступа разработчиков к автоматизированным информационно-телекоммуникационным системам ОАО «РЖД» от 16.11.2020 №2519/р.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СТО РЖД 04.001.0 – 2021 «Автоматизированные системы и программные средства ОАО «РЖД». Общие положения»;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СТО РЖД 04.001.1 – 2021 «Автоматизированные системы и программные средства ОАО «РЖД». Требования к составу, содержанию и оформлению документов при создании автоматизированных систем и программных средств»;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СТО РЖД 04.001.2 – 2021 «Автоматизированные системы и программные средства ОАО «РЖД». Порядок ввода автоматизированных систем и программных средств в действие»;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СТО РЖД 04.001.3 – 2021 «Автоматизированные системы и программные средства ОАО «РЖД». Порядок внесения изменений в автоматизированные системы и программные средства»;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СТО РЖД 04.001.4 – 2021 «Автоматизированные системы и программные средства ОАО «РЖД». Порядок согласования и утверждения документов, разрабатываемых при создании и модификации автоматизированных систем и программных средств».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Услуги по Защите информации при предоставлении Услуги должны быть оказаны в соответствии с требованиями следующих нормативных документов: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Федеральный закон Российской Федерации от 27 июля 2006 г. № 149-ФЗ «Об информации, информационных технологиях и о защите информации»;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Федеральный закон Российской Федерации от 27 июля 2006 г. № 152-ФЗ «О персональных данных»;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Приказ ФСТЭК России от 18 февраля 2013 г.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Письмо № ЦКИ-404 от 29.05.2020 «Технические требованиями к корпоративным системам управления производством с учетом перевода на целевые СУБД, импортонезависимое программное обеспечение серверов приложений и к решениям на открытой платформе х86/х64 и других аппаратных платформах, отвечающих требованиям импортозамещения»;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Распоряжение № 1493/р от 06.06.2022 «О внесении изменений в Единые отраслевые методические указания по унификации активов в области информационных технологий (№ 629 от 14.05.2020)».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22" w:hRule="atLeast"/>
        </w:trPr>
        <w:tc>
          <w:tcPr>
            <w:tcW w:w="19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21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Технические и функциональные характеристики</w:t>
              <w:br/>
              <w:t>услуги</w:t>
            </w:r>
          </w:p>
        </w:tc>
        <w:tc>
          <w:tcPr>
            <w:tcW w:w="611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рамках настоящего технического задания для обеспечения непрерывного функционирования информационных систем, планируемых к размещению в виртуализированной среде, Исполнитель обязуется выделить пул ресурсов облачной платформы в объеме: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tbl>
            <w:tblPr>
              <w:tblW w:w="5945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023"/>
              <w:gridCol w:w="1749"/>
              <w:gridCol w:w="1472"/>
              <w:gridCol w:w="1700"/>
            </w:tblGrid>
            <w:tr>
              <w:trPr>
                <w:trHeight w:val="720" w:hRule="atLeast"/>
              </w:trPr>
              <w:tc>
                <w:tcPr>
                  <w:tcW w:w="10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№</w:t>
                  </w:r>
                </w:p>
              </w:tc>
              <w:tc>
                <w:tcPr>
                  <w:tcW w:w="1749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Наименование Услуги</w:t>
                  </w:r>
                </w:p>
              </w:tc>
              <w:tc>
                <w:tcPr>
                  <w:tcW w:w="147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Единица измерения Услуги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Начальное количество в месяц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102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749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Виртуальный процессор</w:t>
                  </w:r>
                </w:p>
              </w:tc>
              <w:tc>
                <w:tcPr>
                  <w:tcW w:w="1472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 шт.</w:t>
                  </w:r>
                </w:p>
              </w:tc>
              <w:tc>
                <w:tcPr>
                  <w:tcW w:w="17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1054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102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749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Виртуальная память</w:t>
                  </w:r>
                </w:p>
              </w:tc>
              <w:tc>
                <w:tcPr>
                  <w:tcW w:w="1472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 Гб.</w:t>
                  </w:r>
                </w:p>
              </w:tc>
              <w:tc>
                <w:tcPr>
                  <w:tcW w:w="17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7818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102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749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Виртуальное дисковое пространство на медленных носителях информации типа HDD</w:t>
                  </w:r>
                </w:p>
              </w:tc>
              <w:tc>
                <w:tcPr>
                  <w:tcW w:w="1472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 Гб.</w:t>
                  </w:r>
                </w:p>
              </w:tc>
              <w:tc>
                <w:tcPr>
                  <w:tcW w:w="17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trike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27776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102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749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Виртуальное дисковое пространство на носителях информации типа SSD (SSD тип 1)</w:t>
                  </w:r>
                </w:p>
              </w:tc>
              <w:tc>
                <w:tcPr>
                  <w:tcW w:w="1472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 Гб.</w:t>
                  </w:r>
                </w:p>
              </w:tc>
              <w:tc>
                <w:tcPr>
                  <w:tcW w:w="17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55350</w:t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w="102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5.</w:t>
                  </w:r>
                </w:p>
              </w:tc>
              <w:tc>
                <w:tcPr>
                  <w:tcW w:w="1749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Виртуальное дисковое пространство для резервного копирования</w:t>
                  </w:r>
                </w:p>
              </w:tc>
              <w:tc>
                <w:tcPr>
                  <w:tcW w:w="1472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 Гб.</w:t>
                  </w:r>
                </w:p>
              </w:tc>
              <w:tc>
                <w:tcPr>
                  <w:tcW w:w="17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54740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102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6.</w:t>
                  </w:r>
                </w:p>
              </w:tc>
              <w:tc>
                <w:tcPr>
                  <w:tcW w:w="1749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Внешний IP-адрес</w:t>
                  </w:r>
                </w:p>
              </w:tc>
              <w:tc>
                <w:tcPr>
                  <w:tcW w:w="1472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 шт.</w:t>
                  </w:r>
                </w:p>
              </w:tc>
              <w:tc>
                <w:tcPr>
                  <w:tcW w:w="17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12</w:t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w="102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7.</w:t>
                  </w:r>
                </w:p>
              </w:tc>
              <w:tc>
                <w:tcPr>
                  <w:tcW w:w="1749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Предоставление безлимитного, резервированного доступа в интернет на гарантированной скорости 1 Гбит/с</w:t>
                  </w:r>
                </w:p>
              </w:tc>
              <w:tc>
                <w:tcPr>
                  <w:tcW w:w="1472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 шт.</w:t>
                  </w:r>
                </w:p>
              </w:tc>
              <w:tc>
                <w:tcPr>
                  <w:tcW w:w="17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3</w:t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w="102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8.</w:t>
                  </w:r>
                </w:p>
              </w:tc>
              <w:tc>
                <w:tcPr>
                  <w:tcW w:w="1749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Предоставление во временное использование </w:t>
                  </w:r>
                </w:p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кластера ПАК СКЗИ (программно-аппаратный комплекс средств криптографической защиты информации)</w:t>
                  </w:r>
                </w:p>
              </w:tc>
              <w:tc>
                <w:tcPr>
                  <w:tcW w:w="1472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 шт</w:t>
                  </w:r>
                </w:p>
              </w:tc>
              <w:tc>
                <w:tcPr>
                  <w:tcW w:w="17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</w:p>
              </w:tc>
            </w:tr>
            <w:tr>
              <w:trPr>
                <w:trHeight w:val="172" w:hRule="atLeast"/>
              </w:trPr>
              <w:tc>
                <w:tcPr>
                  <w:tcW w:w="10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9.</w:t>
                  </w:r>
                </w:p>
              </w:tc>
              <w:tc>
                <w:tcPr>
                  <w:tcW w:w="1749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Предоставление во временное использование межсетевого экрана (кластер)</w:t>
                  </w:r>
                </w:p>
              </w:tc>
              <w:tc>
                <w:tcPr>
                  <w:tcW w:w="147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 шт.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</w:t>
                  </w:r>
                </w:p>
              </w:tc>
            </w:tr>
            <w:tr>
              <w:trPr>
                <w:trHeight w:val="138" w:hRule="atLeast"/>
              </w:trPr>
              <w:tc>
                <w:tcPr>
                  <w:tcW w:w="10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10.</w:t>
                  </w:r>
                </w:p>
              </w:tc>
              <w:tc>
                <w:tcPr>
                  <w:tcW w:w="1749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Предоставление Услуги по администрированию кластера межсетевых экранов</w:t>
                  </w:r>
                </w:p>
              </w:tc>
              <w:tc>
                <w:tcPr>
                  <w:tcW w:w="147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 шт.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Объём Услуг может быть изменен Заказчиком путем обращения в техническую поддержку Исполнителя. Соответствующая форма заказа на изменение объема Услуг приведена в Приложении № 8 к настоящему Договору не позднее, чем за 10 (десять) календарных дней до начала соответствующего отчетного периода, изменения вступают в силу с 1 (первого) числа следующего отчетного периода для всех последующих отчетных периодов, до получения нового заказа.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 оказании услуги Исполнитель обязан обеспечить: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мониторинг предоставляемых вычислительных мощностей и своевременное обслуживание, замену в случае выхода из строя;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техническую поддержку представителей Заказчика путем возможности обращения в службу Исполнителя Service Desk, функционирующую в режиме 24 х 7 х 365;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возможность удаленного доступа Заказчику для развертывания дополнительного программного обеспечения.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Решение, на котором будет работать услуга, должно удовлетворять следующим требованиям: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Платформа виртуализации должна быть реализована на программном продукте </w:t>
            </w:r>
            <w:r>
              <w:rPr>
                <w:sz w:val="24"/>
                <w:szCs w:val="24"/>
                <w:shd w:fill="FFFF00" w:val="clear"/>
              </w:rPr>
              <w:t>OpenStack</w:t>
            </w:r>
            <w:r>
              <w:rPr>
                <w:sz w:val="24"/>
                <w:szCs w:val="24"/>
              </w:rPr>
              <w:t>, гипервизор QEMU-KVM версии не ниже 6.2. Платформа виртуализации должна быть зарегистрирована в едином реестре российских программ для электронных вычислительных машин и баз данных, созданного в соответствии со статьей 12.1 Федерального закона «Об информации, информационных технологиях и о защите информации».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Платформа, на которой предоставляются сервисы виртуализации, должна обеспечивать запуск виртуальных машин на других узлах платформы виртуализации, при выходе из строя одного из них.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Заказчику должна быть предоставлена возможность самостоятельного управления виртуальными вычислительными ресурсами.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Заказчику должна быть предоставлена возможность самостоятельного мониторинга текущего состояния виртуальных машин, доступ к их консоли, возможность управления выключением/включением/перезагрузкой.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Заказчику должны быть предоставлена возможность изменения параметров вычислительных ресурсов под каждую конкретную виртуальную машину.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Заказчику должен предоставляться доступ к дискам с низкой сетевой задержкой (latency), размещенным на хостах виртуализации вне сетевого хранилища данных.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 должны храниться не менее чем в 3 копиях, на независимых друг от друга серверах, расположенных в разных стойках. Диски с низкой сетевой задержкой, расположенные на хостах виртуализации, должны быть собраны в отказоустойчивую конфигурацию (RAID 10).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highlight w:val="none"/>
                <w:shd w:fill="FFFF00" w:val="clear"/>
              </w:rPr>
            </w:pPr>
            <w:r>
              <w:rPr>
                <w:sz w:val="24"/>
                <w:szCs w:val="24"/>
                <w:shd w:fill="FFFF00" w:val="clear"/>
              </w:rPr>
              <w:t>Кластеры сетевого хранилища данных должны располагаться не менее чем в двух ДЦ, расположенных в разных регионах Российской Федерации.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 должен предоставить Заказчику доступ к панели управления услугами. Панель управления должна быть доступна через веб-браузер.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Панель управления должна предоставить Заказчику возможность:</w:t>
            </w:r>
          </w:p>
          <w:p>
            <w:pPr>
              <w:pStyle w:val="ListParagraph"/>
              <w:widowControl/>
              <w:numPr>
                <w:ilvl w:val="1"/>
                <w:numId w:val="2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Создания/удаления виртуальных машин (ВМ);</w:t>
            </w:r>
          </w:p>
          <w:p>
            <w:pPr>
              <w:pStyle w:val="ListParagraph"/>
              <w:widowControl/>
              <w:numPr>
                <w:ilvl w:val="1"/>
                <w:numId w:val="2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Изменения характеристик ВМ в части CPU, RAM, а также дискового пространства – как в большую, так и в меньшую сторону;</w:t>
            </w:r>
          </w:p>
          <w:p>
            <w:pPr>
              <w:pStyle w:val="ListParagraph"/>
              <w:widowControl/>
              <w:numPr>
                <w:ilvl w:val="1"/>
                <w:numId w:val="2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Выбора операционной системы (ОС) для создаваемых ВМ – Linux / Windows / Astra Linux</w:t>
            </w:r>
          </w:p>
          <w:p>
            <w:pPr>
              <w:pStyle w:val="ListParagraph"/>
              <w:widowControl/>
              <w:numPr>
                <w:ilvl w:val="1"/>
                <w:numId w:val="2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Загрузка собственных образов операционной системы (ОС);</w:t>
            </w:r>
          </w:p>
          <w:p>
            <w:pPr>
              <w:pStyle w:val="ListParagraph"/>
              <w:widowControl/>
              <w:numPr>
                <w:ilvl w:val="1"/>
                <w:numId w:val="2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Выбора дополнительных услуг;</w:t>
            </w:r>
          </w:p>
          <w:p>
            <w:pPr>
              <w:pStyle w:val="ListParagraph"/>
              <w:widowControl/>
              <w:numPr>
                <w:ilvl w:val="1"/>
                <w:numId w:val="2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Просмотра технической и финансовой информации для отслеживания потребляемых мощностей и прогнозирования финансовых расходов;</w:t>
            </w:r>
          </w:p>
          <w:p>
            <w:pPr>
              <w:pStyle w:val="ListParagraph"/>
              <w:widowControl/>
              <w:numPr>
                <w:ilvl w:val="1"/>
                <w:numId w:val="2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Снятия снапшотов виртуальных машин.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 к порталу самообслуживания должен осуществляться с применением аутентификации.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Портал самообслуживания должен обеспечивать отслеживание информации следующих типов:</w:t>
            </w:r>
          </w:p>
          <w:p>
            <w:pPr>
              <w:pStyle w:val="ListParagraph"/>
              <w:widowControl/>
              <w:numPr>
                <w:ilvl w:val="1"/>
                <w:numId w:val="2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Метрики состояния ВМ:</w:t>
            </w:r>
          </w:p>
          <w:p>
            <w:pPr>
              <w:pStyle w:val="ListParagraph"/>
              <w:widowControl/>
              <w:numPr>
                <w:ilvl w:val="2"/>
                <w:numId w:val="3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Загруженность процессора;</w:t>
            </w:r>
          </w:p>
          <w:p>
            <w:pPr>
              <w:pStyle w:val="ListParagraph"/>
              <w:widowControl/>
              <w:numPr>
                <w:ilvl w:val="2"/>
                <w:numId w:val="3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Использование дискового пространства;</w:t>
            </w:r>
          </w:p>
          <w:p>
            <w:pPr>
              <w:pStyle w:val="ListParagraph"/>
              <w:widowControl/>
              <w:numPr>
                <w:ilvl w:val="2"/>
                <w:numId w:val="3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Сетевой трафик (входящий и исходящий).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Должна быть возможность получения аналитической информации в виде графиков. Графики должны отображать значения считанной по метрикам информации с момента ее создания по настоящий момент времени (на момент просмотра графика).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 должен обеспечить возможность использования балансировщиков нагрузки для балансировки трафика на определенные порты виртуальных машин Заказчика.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Необходимые режим балансировки:</w:t>
            </w:r>
          </w:p>
          <w:p>
            <w:pPr>
              <w:pStyle w:val="ListParagraph"/>
              <w:widowControl/>
              <w:numPr>
                <w:ilvl w:val="1"/>
                <w:numId w:val="3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Least Connections;</w:t>
            </w:r>
          </w:p>
          <w:p>
            <w:pPr>
              <w:pStyle w:val="ListParagraph"/>
              <w:widowControl/>
              <w:numPr>
                <w:ilvl w:val="1"/>
                <w:numId w:val="3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Round Robin;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качестве процессора узлов виртуализации должны использоваться процессоры на базе Intel Xeon Gold семейства Cascade Lake не ниже второго поколения.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Базовая тактовая частота процессора серверов виртуализации должна быть не менее 3.0 ГГц. Должна быть возможность TurboBoost всех ядер процессора до 3.6 ГГц и более без ограничений по времени TurboBoost.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Допустимый коэффициент переподписки CPU не должен превышать 1:1.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Максимальное количество физических CPU на 1 (одну) виртуальную машину не менее 72 шт.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Максимальный объем RAM на одну виртуальную машину не менее 1024 Гб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хранения данных должна предоставлять возможность доступа к следующим типам дисков:</w:t>
            </w:r>
          </w:p>
          <w:tbl>
            <w:tblPr>
              <w:tblW w:w="6137" w:type="dxa"/>
              <w:jc w:val="left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 w:noHBand="1" w:noVBand="1" w:firstColumn="0" w:lastRow="0" w:lastColumn="0" w:firstRow="0"/>
            </w:tblPr>
            <w:tblGrid>
              <w:gridCol w:w="1561"/>
              <w:gridCol w:w="1984"/>
              <w:gridCol w:w="1276"/>
              <w:gridCol w:w="1315"/>
            </w:tblGrid>
            <w:tr>
              <w:trPr/>
              <w:tc>
                <w:tcPr>
                  <w:tcW w:w="156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pBdr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Тип диска</w:t>
                  </w:r>
                </w:p>
              </w:tc>
              <w:tc>
                <w:tcPr>
                  <w:tcW w:w="198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pBdr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IOPS чтение/запись (блок 4кб)</w:t>
                  </w:r>
                </w:p>
              </w:tc>
              <w:tc>
                <w:tcPr>
                  <w:tcW w:w="127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pBdr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Полоса (блок 4мб)</w:t>
                  </w:r>
                </w:p>
              </w:tc>
              <w:tc>
                <w:tcPr>
                  <w:tcW w:w="131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pBdr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Сетевая задержка (latency), мс</w:t>
                  </w:r>
                </w:p>
              </w:tc>
            </w:tr>
            <w:tr>
              <w:trPr>
                <w:trHeight w:val="1290" w:hRule="atLeast"/>
              </w:trPr>
              <w:tc>
                <w:tcPr>
                  <w:tcW w:w="1561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pBdr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SSD тип 1</w:t>
                  </w:r>
                </w:p>
              </w:tc>
              <w:tc>
                <w:tcPr>
                  <w:tcW w:w="1984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pBdr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Не менее 7 000 IOPS / 4 000 IOPS на диск любого объема</w:t>
                  </w:r>
                </w:p>
              </w:tc>
              <w:tc>
                <w:tcPr>
                  <w:tcW w:w="1276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pBdr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Не менее 200 МБ/с</w:t>
                  </w:r>
                </w:p>
              </w:tc>
              <w:tc>
                <w:tcPr>
                  <w:tcW w:w="131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pBdr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Не более 2 мс</w:t>
                  </w:r>
                </w:p>
              </w:tc>
            </w:tr>
            <w:tr>
              <w:trPr>
                <w:trHeight w:val="12" w:hRule="atLeast"/>
              </w:trPr>
              <w:tc>
                <w:tcPr>
                  <w:tcW w:w="1561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pBdr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SSD тип 2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pBdr/>
                    <w:spacing w:lineRule="auto" w:line="24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Не менее 25 000 IOPS /</w:t>
                  </w:r>
                </w:p>
                <w:p>
                  <w:pPr>
                    <w:pStyle w:val="Normal"/>
                    <w:pBdr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15 000 IOPS на диск любого объема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pBdr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Не менее 500 МБ/с</w:t>
                  </w:r>
                </w:p>
              </w:tc>
              <w:tc>
                <w:tcPr>
                  <w:tcW w:w="1315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pBdr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Не более 2 мс</w:t>
                  </w:r>
                </w:p>
              </w:tc>
            </w:tr>
            <w:tr>
              <w:trPr/>
              <w:tc>
                <w:tcPr>
                  <w:tcW w:w="156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pBdr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HDD</w:t>
                  </w:r>
                </w:p>
              </w:tc>
              <w:tc>
                <w:tcPr>
                  <w:tcW w:w="198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Не менее 320 IOPS / 120 IOPS на диск любого объема</w:t>
                  </w:r>
                </w:p>
              </w:tc>
              <w:tc>
                <w:tcPr>
                  <w:tcW w:w="127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Не менее 100 МБ/с</w:t>
                  </w:r>
                </w:p>
              </w:tc>
              <w:tc>
                <w:tcPr>
                  <w:tcW w:w="131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Не более 2 мс</w:t>
                  </w:r>
                </w:p>
              </w:tc>
            </w:tr>
          </w:tbl>
          <w:p>
            <w:pPr>
              <w:pStyle w:val="ListParagraph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Локальная вычислительная сеть (ЛВС) должна обеспечить возможность связи виртуальных машин (ВМ) друг с другом и с дисковыми подсистемами с пропускной способностью не менее 5 Гбит/с на одну виртуальную машину (ВМ).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Заказчику должна быть предоставлена возможность организовать связность по технологии L3VPN с каким-либо ЦОД-ом, не принадлежащим Исполнителю.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Должна быть возможность осуществлять резервное копирование виртуальных машин.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Возможность создания резервных копий и восстановления виртуальных машин без использования специализированных агентов средствами самой платформы виртуализации.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Инфраструктура виртуализации должна быть построена по схеме N+1, т.е. должна сохраняться полноценная работоспособность при отказе одного узла виртуализации.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Инфраструктура должна соответствовать требованиям Приказа ФСТЭК России от 18 февраля 2013 г. N 21 по 1 уровню защищенности персональных данных (УЗ-1).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рамках оказания услуги Исполнитель должен предоставить Заказчику во временное использование 2 виртуальных межсетевых экрана: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Межсетевые экраны должны поддерживать функцию кластеризации.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Межсетевые экраны должны быть сертифицированными ФСТЭК и соответствовать 4 классу защиты.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Межсетевые экраны должны иметь функцию обнаружения вторжений.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Производительность межсетевого экрана в основном режиме должна быть не менее 8 Гб/c, система обнаружения вторжений: не менее 1,3 Гб/с.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highlight w:val="none"/>
                <w:shd w:fill="FFFF00" w:val="clear"/>
              </w:rPr>
            </w:pPr>
            <w:r>
              <w:rPr>
                <w:rFonts w:ascii="Times New Roman" w:hAnsi="Times New Roman"/>
                <w:sz w:val="24"/>
                <w:szCs w:val="24"/>
                <w:shd w:fill="FFFF00" w:val="clear"/>
              </w:rPr>
              <w:t>Дополнительно, по запросу Заказчика Исполнитель должен предоставить Заказчику возможность услуги по предоставлению во временное использование антивируса, который должен соответствовать требованиям: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поддерживать операционную систему (ОС) Windows и операционную систему (ОС) Linux;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быть сертифицирован ФСТЭК России по профилям средств антивирусной защиты типа Б второго класса, типа В второго класса защиты, типа Г второго класса антивирусной защиты, уровней доверия – по 2 уровню доверия.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сертифицирован ФСБ России по классам Б2, В2, Г2.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Дополнительно, по запросу Заказчика Исполнитель должен предоставить Заказчику возможность услуги по предоставлению во временное использование 2 программно-аппаратных комплекса (ПАК) криптографической защиты информации соответствующий требованиям: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ПАК должны быть ViPNet совместимы, для обеспечения взаимодействия с существующими ПАК Заказчика.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ПАК должны поддерживать функцию кластеризации.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ПАК должны соответствовать следующим характеристикам: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Должен быть построен на аппаратной платформе телекоммуникационного сервера.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Пропускная способность L3 VPN, Мбит/с -  не менее 850 Мбит/с.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Пропускная способность L2 VPN, Мбит/с – не менее 800 Мбит/с.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Дополнительно, по запросу Заказчика Исполнитель должен предоставить Заказчику возможность услуги временного использования средства защиты информации от несанкционированного доступа (СЗИ от НСД) (тип 1). СЗИ от НСД должны соответствовать следующим характеристикам: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Должно реализовать следующие основные функции: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входа пользователей в систему;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Разграничение доступа к данным, устройствам, принтерам и сетевым интерфейсам, включая: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контроль потоков конфиденциальной информации в системе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ввода и вывода информации на отчуждаемые носители;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highlight w:val="none"/>
                <w:shd w:fill="FFFF00" w:val="clear"/>
              </w:rPr>
            </w:pPr>
            <w:r>
              <w:rPr>
                <w:sz w:val="24"/>
                <w:szCs w:val="24"/>
                <w:shd w:fill="FFFF00" w:val="clear"/>
              </w:rPr>
              <w:t xml:space="preserve">Теневое копирование информации, выводимой на внешние носители и на печать;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highlight w:val="none"/>
                <w:shd w:fill="FFFF00" w:val="clear"/>
              </w:rPr>
            </w:pPr>
            <w:r>
              <w:rPr>
                <w:sz w:val="24"/>
                <w:szCs w:val="24"/>
                <w:shd w:fill="FFFF00" w:val="clear"/>
              </w:rPr>
              <w:t xml:space="preserve">Автоматическая маркировка документов, выводимых на печать;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highlight w:val="none"/>
                <w:shd w:fill="FFFF00" w:val="clear"/>
              </w:rPr>
            </w:pPr>
            <w:r>
              <w:rPr>
                <w:sz w:val="24"/>
                <w:szCs w:val="24"/>
                <w:shd w:fill="FFFF00" w:val="clear"/>
              </w:rPr>
              <w:t xml:space="preserve">Контроль целостности файловых объектов и реестра;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Создание замкнутой программной среды для пользователей (контроль запуска исполняемых модулей, загрузки динамических библиотек, исполнения скриптов по технологии Active Scripts);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Очистка оперативной и внешней памяти при ее перераспределении;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Изоляция процессов в оперативной памяти;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Учет событий безопасности;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содержимого локальных жестких дисков при несанкционированной загрузке операционной системы;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Функциональный контроль ключевых защитных подсистем;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параметрами работы механизмов защиты;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Авторизация сетевых соединений;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Мониторинг и оперативное управление защищаемыми компьютерами;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Должно включать включает следующие основные компоненты: </w:t>
            </w:r>
          </w:p>
          <w:p>
            <w:pPr>
              <w:pStyle w:val="ListParagraph"/>
              <w:widowControl/>
              <w:numPr>
                <w:ilvl w:val="1"/>
                <w:numId w:val="3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базовые функциональные модули;</w:t>
            </w:r>
          </w:p>
          <w:p>
            <w:pPr>
              <w:pStyle w:val="ListParagraph"/>
              <w:widowControl/>
              <w:numPr>
                <w:ilvl w:val="1"/>
                <w:numId w:val="3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входа в систему;</w:t>
            </w:r>
          </w:p>
          <w:p>
            <w:pPr>
              <w:pStyle w:val="ListParagraph"/>
              <w:widowControl/>
              <w:numPr>
                <w:ilvl w:val="1"/>
                <w:numId w:val="3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целостности;</w:t>
            </w:r>
          </w:p>
          <w:p>
            <w:pPr>
              <w:pStyle w:val="ListParagraph"/>
              <w:widowControl/>
              <w:numPr>
                <w:ilvl w:val="1"/>
                <w:numId w:val="3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защита от НСД: </w:t>
            </w:r>
          </w:p>
          <w:p>
            <w:pPr>
              <w:pStyle w:val="ListParagraph"/>
              <w:widowControl/>
              <w:numPr>
                <w:ilvl w:val="2"/>
                <w:numId w:val="3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устройств;</w:t>
            </w:r>
          </w:p>
          <w:p>
            <w:pPr>
              <w:pStyle w:val="ListParagraph"/>
              <w:widowControl/>
              <w:numPr>
                <w:ilvl w:val="2"/>
                <w:numId w:val="3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печати;</w:t>
            </w:r>
          </w:p>
          <w:p>
            <w:pPr>
              <w:pStyle w:val="ListParagraph"/>
              <w:widowControl/>
              <w:numPr>
                <w:ilvl w:val="2"/>
                <w:numId w:val="3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замкнутая программная среда;</w:t>
            </w:r>
          </w:p>
          <w:p>
            <w:pPr>
              <w:pStyle w:val="ListParagraph"/>
              <w:widowControl/>
              <w:numPr>
                <w:ilvl w:val="2"/>
                <w:numId w:val="3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затирание данных;</w:t>
            </w:r>
          </w:p>
          <w:p>
            <w:pPr>
              <w:pStyle w:val="ListParagraph"/>
              <w:widowControl/>
              <w:numPr>
                <w:ilvl w:val="2"/>
                <w:numId w:val="3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полномочное (мандатное) управление доступом;</w:t>
            </w:r>
          </w:p>
          <w:p>
            <w:pPr>
              <w:pStyle w:val="ListParagraph"/>
              <w:widowControl/>
              <w:numPr>
                <w:ilvl w:val="2"/>
                <w:numId w:val="3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дискреционное разграничение доступа к файлам и директориям.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hd w:fill="FFFF00" w:val="clear"/>
              </w:rPr>
              <w:t>Должно поддерживать следующие операционные системы Windows:</w:t>
            </w:r>
          </w:p>
          <w:p>
            <w:pPr>
              <w:pStyle w:val="ListParagraph"/>
              <w:widowControl/>
              <w:numPr>
                <w:ilvl w:val="1"/>
                <w:numId w:val="3"/>
              </w:numPr>
              <w:spacing w:before="0" w:after="0"/>
              <w:contextualSpacing w:val="false"/>
              <w:jc w:val="both"/>
              <w:rPr>
                <w:highlight w:val="none"/>
                <w:shd w:fill="FFFF00" w:val="clear"/>
              </w:rPr>
            </w:pPr>
            <w:r>
              <w:rPr>
                <w:sz w:val="24"/>
                <w:szCs w:val="24"/>
                <w:shd w:fill="FFFF00" w:val="clear"/>
              </w:rPr>
              <w:t xml:space="preserve">Windows 10 </w:t>
            </w:r>
          </w:p>
          <w:p>
            <w:pPr>
              <w:pStyle w:val="ListParagraph"/>
              <w:widowControl/>
              <w:numPr>
                <w:ilvl w:val="1"/>
                <w:numId w:val="3"/>
              </w:numPr>
              <w:spacing w:before="0" w:after="0"/>
              <w:contextualSpacing w:val="false"/>
              <w:jc w:val="both"/>
              <w:rPr>
                <w:highlight w:val="none"/>
                <w:shd w:fill="FFFF00" w:val="clear"/>
              </w:rPr>
            </w:pPr>
            <w:r>
              <w:rPr>
                <w:sz w:val="24"/>
                <w:szCs w:val="24"/>
                <w:shd w:fill="FFFF00" w:val="clear"/>
              </w:rPr>
              <w:t xml:space="preserve">Windows 8 </w:t>
            </w:r>
          </w:p>
          <w:p>
            <w:pPr>
              <w:pStyle w:val="ListParagraph"/>
              <w:widowControl/>
              <w:numPr>
                <w:ilvl w:val="1"/>
                <w:numId w:val="3"/>
              </w:numPr>
              <w:spacing w:before="0" w:after="0"/>
              <w:contextualSpacing w:val="false"/>
              <w:jc w:val="both"/>
              <w:rPr>
                <w:highlight w:val="none"/>
                <w:shd w:fill="FFFF00" w:val="clear"/>
              </w:rPr>
            </w:pPr>
            <w:r>
              <w:rPr>
                <w:sz w:val="24"/>
                <w:szCs w:val="24"/>
                <w:shd w:fill="FFFF00" w:val="clear"/>
              </w:rPr>
              <w:t>Windows 8.1</w:t>
            </w:r>
          </w:p>
          <w:p>
            <w:pPr>
              <w:pStyle w:val="ListParagraph"/>
              <w:widowControl/>
              <w:numPr>
                <w:ilvl w:val="1"/>
                <w:numId w:val="3"/>
              </w:numPr>
              <w:spacing w:before="0" w:after="0"/>
              <w:contextualSpacing w:val="false"/>
              <w:jc w:val="both"/>
              <w:rPr>
                <w:highlight w:val="none"/>
                <w:shd w:fill="FFFF00" w:val="clear"/>
              </w:rPr>
            </w:pPr>
            <w:r>
              <w:rPr>
                <w:sz w:val="24"/>
                <w:szCs w:val="24"/>
                <w:shd w:fill="FFFF00" w:val="clear"/>
              </w:rPr>
              <w:t xml:space="preserve">Windows 7 SP1 </w:t>
            </w:r>
          </w:p>
          <w:p>
            <w:pPr>
              <w:pStyle w:val="ListParagraph"/>
              <w:widowControl/>
              <w:numPr>
                <w:ilvl w:val="1"/>
                <w:numId w:val="3"/>
              </w:numPr>
              <w:spacing w:before="0" w:after="0"/>
              <w:contextualSpacing w:val="false"/>
              <w:jc w:val="both"/>
              <w:rPr>
                <w:highlight w:val="none"/>
                <w:shd w:fill="FFFF00" w:val="clear"/>
              </w:rPr>
            </w:pPr>
            <w:r>
              <w:rPr>
                <w:sz w:val="24"/>
                <w:szCs w:val="24"/>
                <w:shd w:fill="FFFF00" w:val="clear"/>
              </w:rPr>
              <w:t>Windows Vista SP2</w:t>
            </w:r>
          </w:p>
          <w:p>
            <w:pPr>
              <w:pStyle w:val="ListParagraph"/>
              <w:widowControl/>
              <w:numPr>
                <w:ilvl w:val="1"/>
                <w:numId w:val="3"/>
              </w:numPr>
              <w:spacing w:before="0" w:after="0"/>
              <w:contextualSpacing w:val="false"/>
              <w:jc w:val="both"/>
              <w:rPr>
                <w:highlight w:val="none"/>
                <w:shd w:fill="FFFF00" w:val="clear"/>
              </w:rPr>
            </w:pPr>
            <w:r>
              <w:rPr>
                <w:sz w:val="24"/>
                <w:szCs w:val="24"/>
                <w:shd w:fill="FFFF00" w:val="clear"/>
              </w:rPr>
              <w:t>Windows 2012</w:t>
            </w:r>
          </w:p>
          <w:p>
            <w:pPr>
              <w:pStyle w:val="ListParagraph"/>
              <w:widowControl/>
              <w:numPr>
                <w:ilvl w:val="1"/>
                <w:numId w:val="3"/>
              </w:numPr>
              <w:spacing w:before="0" w:after="0"/>
              <w:contextualSpacing w:val="false"/>
              <w:jc w:val="both"/>
              <w:rPr>
                <w:highlight w:val="none"/>
                <w:shd w:fill="FFFF00" w:val="clear"/>
              </w:rPr>
            </w:pPr>
            <w:r>
              <w:rPr>
                <w:sz w:val="24"/>
                <w:szCs w:val="24"/>
                <w:shd w:fill="FFFF00" w:val="clear"/>
              </w:rPr>
              <w:t>Windows 2012 R2</w:t>
            </w:r>
          </w:p>
          <w:p>
            <w:pPr>
              <w:pStyle w:val="ListParagraph"/>
              <w:widowControl/>
              <w:numPr>
                <w:ilvl w:val="1"/>
                <w:numId w:val="3"/>
              </w:numPr>
              <w:spacing w:before="0" w:after="0"/>
              <w:contextualSpacing w:val="false"/>
              <w:jc w:val="both"/>
              <w:rPr>
                <w:highlight w:val="none"/>
                <w:shd w:fill="FFFF00" w:val="clear"/>
              </w:rPr>
            </w:pPr>
            <w:r>
              <w:rPr>
                <w:sz w:val="24"/>
                <w:szCs w:val="24"/>
                <w:shd w:fill="FFFF00" w:val="clear"/>
              </w:rPr>
              <w:t>Windows 2008 SP2</w:t>
            </w:r>
          </w:p>
          <w:p>
            <w:pPr>
              <w:pStyle w:val="ListParagraph"/>
              <w:widowControl/>
              <w:numPr>
                <w:ilvl w:val="1"/>
                <w:numId w:val="3"/>
              </w:numPr>
              <w:spacing w:before="0" w:after="0"/>
              <w:contextualSpacing w:val="false"/>
              <w:jc w:val="both"/>
              <w:rPr>
                <w:highlight w:val="none"/>
                <w:shd w:fill="FFFF00" w:val="clear"/>
              </w:rPr>
            </w:pPr>
            <w:r>
              <w:rPr>
                <w:sz w:val="24"/>
                <w:szCs w:val="24"/>
                <w:shd w:fill="FFFF00" w:val="clear"/>
              </w:rPr>
              <w:t>Windows 2008 R2 SP1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Дополнительно, по запросу Заказчика Исполнитель должен предоставить Заказчику возможность услуги временного использования средства защиты информации от несанкционированного доступа (СЗИ от НСД) (тип 2). СЗИ от НСД должны соответствовать следующим характеристикам: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осуществлять контроль входа пользователей в систему как по логину/паролю, так и с использованием дополнительных аппаратных средств усиленной аутентификации;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функционировать совместно с программно-аппаратными средствами доверенной загрузки для обеспечения защиты компьютера от несанкционированной загрузки автоматизированной системы с внешних носителей;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поддерживать персональные идентификаторы iButton (при совместном использовании со средствами доверенной загрузки) и USB-ключи: Rutoken S, Rutoken S RF, Rutoken S micro, Rutoken ЭЦП, Rutoken ЭЦП 2.0, Rutoken ЭЦП PKI, Rutoken ЭЦП micro, Rutoken ЭЦП Bluetooth, Rutoken ЭЦП Flash, JaCarta PKI, JaCarta PKI Flash, JaCarta ГОСТ;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поддерживать разграничение доступа пользователей к защищаемым ресурсам (файлы, каталоги) компьютера;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предоставлять возможность назначения администратором для каждого контролируемого устройства условной символьной метки для его идентификации;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выполнять очистку освобождаемых областей оперативной памяти компьютера и запоминающих устройств (внутренних жестких дисков, внешних запоминающих устройств);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выполнять затирание освобождаемых страниц оперативной памяти с возможностью разбиения больших страниц на более мелкие непосредственно перед очисткой;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выполнять затирание освобождаемых блоков на файловых системах EXT2, EXT3, EXT4 и VFAT;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выполнять безопасное удаление информации на жестких дисках и внешних носителях;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выполнять затирание страниц SWAP при выключении компьютера или перезагрузке операционной системы;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выполнять контроль целостности программной среды (файлы, каталоги) защищаемого компьютера;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выполнять контроль целостности критических объектов операционной системы и ресурсов файловой системы компьютера, поставленных на контроль администратором;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выполнять контроль целостности в автоматическом режиме при загрузке операционной системы;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предоставлять администратору возможность вручную запускать проверку целостности защищаемых ресурсов;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поддерживать следующие режимы реакции СЗИ на нарушение целостности объектов: только регистрация события безопасности; блокировка автоматизированной системы в случае нарушения безопасности; восстановление из эталонного значения (для файловых объектов) и блокировка автоматизированной системы;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выполнять регистрацию событий безопасности в журнале безопасности СЗИ от НСД, контроль действий пользователей: доступ к защищаемым файлам, устройствам и узлам вычислительной сети; событий вывода файлов на печать;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выполнять аудит действий субъектов с объектами файловой системы и сетевых соединений, аудит отчуждения информации;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выполнять аудит действий администратора при доступе к файловым объектам;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осуществлять фильтрацию событий безопасности, контекстный поиск в журнале безопасности;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выполнять автоматическое построение отчетов по результатам аудита;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предоставлять возможность управления СЗИ: с помощью графического интерфейса и командной строки;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предоставлять возможность автоматизированного ввода компьютера в домен Windows;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обеспечивать функциональный самоконтроль ключевых компонентов средства защиты.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к операционной платформе и аппаратной части: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СЗИ должно функционировать на следующих платформах: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Альт 8 СП (версия ядра 4.4.86-std-def-alt0.M80C.1);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Альт Рабочая станция 8 (версия 8.2, версия ядра 4.9.71-std-def-alt0. M80P.1);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Лотос (версия 2.1, версия ядра 4.14.79);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РЕД ОС 7.2 Муром (версия ядра 4.19.56-2.el7.x86_64);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РЕД ОС 7.1 Муром (версия ядра 4.9.79-1.el7.x86_64);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Astra Linux Common Edition (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2.12.14, 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ядра</w:t>
            </w:r>
            <w:r>
              <w:rPr>
                <w:sz w:val="24"/>
                <w:szCs w:val="24"/>
                <w:lang w:val="en-US"/>
              </w:rPr>
              <w:t xml:space="preserve"> 4.15.3 Update 19);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Astra Linux Common Edition (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2.12, 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ядра</w:t>
            </w:r>
            <w:r>
              <w:rPr>
                <w:sz w:val="24"/>
                <w:szCs w:val="24"/>
                <w:lang w:val="en-US"/>
              </w:rPr>
              <w:t xml:space="preserve"> 4.15.3);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Astra Linux Special Edition (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1.6, 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ядра</w:t>
            </w:r>
            <w:r>
              <w:rPr>
                <w:sz w:val="24"/>
                <w:szCs w:val="24"/>
                <w:lang w:val="en-US"/>
              </w:rPr>
              <w:t xml:space="preserve"> 4.15.3 Update 20190222SE16);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Astra Linux Special Edition (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1.6, 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ядра</w:t>
            </w:r>
            <w:r>
              <w:rPr>
                <w:sz w:val="24"/>
                <w:szCs w:val="24"/>
                <w:lang w:val="en-US"/>
              </w:rPr>
              <w:t xml:space="preserve"> 4.15.3);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Astra Linux Special Edition (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1.5, 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ядра</w:t>
            </w:r>
            <w:r>
              <w:rPr>
                <w:sz w:val="24"/>
                <w:szCs w:val="24"/>
                <w:lang w:val="en-US"/>
              </w:rPr>
              <w:t xml:space="preserve"> 4.2.0-24 Update 20190329SE15);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Astra Linux Special Edition (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1.5, 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ядра</w:t>
            </w:r>
            <w:r>
              <w:rPr>
                <w:sz w:val="24"/>
                <w:szCs w:val="24"/>
                <w:lang w:val="en-US"/>
              </w:rPr>
              <w:t xml:space="preserve"> 4.2.0-23);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CentOS 7.6.1810 (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ядра</w:t>
            </w:r>
            <w:r>
              <w:rPr>
                <w:sz w:val="24"/>
                <w:szCs w:val="24"/>
                <w:lang w:val="en-US"/>
              </w:rPr>
              <w:t xml:space="preserve"> 3.10.0-957.el7.x86_64);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CentOS 7.3.1611 (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ядра</w:t>
            </w:r>
            <w:r>
              <w:rPr>
                <w:sz w:val="24"/>
                <w:szCs w:val="24"/>
                <w:lang w:val="en-US"/>
              </w:rPr>
              <w:t xml:space="preserve"> 4.4.80.el7.elrepo.x86_64);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Continent OS 4.2 (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ядра</w:t>
            </w:r>
            <w:r>
              <w:rPr>
                <w:sz w:val="24"/>
                <w:szCs w:val="24"/>
                <w:lang w:val="en-US"/>
              </w:rPr>
              <w:t xml:space="preserve"> 3.10.0-957.terminal1.2.x86_64);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Debian 9.9 (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ядра</w:t>
            </w:r>
            <w:r>
              <w:rPr>
                <w:sz w:val="24"/>
                <w:szCs w:val="24"/>
                <w:lang w:val="en-US"/>
              </w:rPr>
              <w:t xml:space="preserve"> 4.9.0-9-amd64 #1 SMP 4.9.168-1 +deb9u2~deb8u1);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Debian 9.5 (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ядра</w:t>
            </w:r>
            <w:r>
              <w:rPr>
                <w:sz w:val="24"/>
                <w:szCs w:val="24"/>
                <w:lang w:val="en-US"/>
              </w:rPr>
              <w:t xml:space="preserve"> 4.9.0-7-amd64 #1 SMP Debian 4.9.110-1);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Oracle Linux 7.6 (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ядра</w:t>
            </w:r>
            <w:r>
              <w:rPr>
                <w:sz w:val="24"/>
                <w:szCs w:val="24"/>
                <w:lang w:val="en-US"/>
              </w:rPr>
              <w:t xml:space="preserve"> 3.10.0-957.el7.x86_64);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Red Hat Enterprise Linux Server 7.6 (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ядра</w:t>
            </w:r>
            <w:r>
              <w:rPr>
                <w:sz w:val="24"/>
                <w:szCs w:val="24"/>
                <w:lang w:val="en-US"/>
              </w:rPr>
              <w:t xml:space="preserve"> 3.10.0-957.el7. x86_64);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Red Hat Enterprise Linux Server 6.8 (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ядра</w:t>
            </w:r>
            <w:r>
              <w:rPr>
                <w:sz w:val="24"/>
                <w:szCs w:val="24"/>
                <w:lang w:val="en-US"/>
              </w:rPr>
              <w:t xml:space="preserve"> 2.6.32 642.13.1.el6. x86_64);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ROSA Enterprise Linux Desktop (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7.3, 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ядра</w:t>
            </w:r>
            <w:r>
              <w:rPr>
                <w:sz w:val="24"/>
                <w:szCs w:val="24"/>
                <w:lang w:val="en-US"/>
              </w:rPr>
              <w:t xml:space="preserve"> 4.20.3-1. Res7c.x86_64);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Ubuntu 18.04.2 LTS (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ядра</w:t>
            </w:r>
            <w:r>
              <w:rPr>
                <w:sz w:val="24"/>
                <w:szCs w:val="24"/>
                <w:lang w:val="en-US"/>
              </w:rPr>
              <w:t xml:space="preserve"> 4.18.0-15-generic #16~18.04.1-Ubuntu).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Заказчику должна быть предоставлена возможность использования платформенных сервисов в составе: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управляемая операционная система Debian версии не ниже 10;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управляемые масштабируемые кластеры Kubernetes версии не ниже 1.24.7;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управляемые базы данных PostgreSQL, MySQL, Redis, TimeScale;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должен предоставляться платформенный реестр по хранению образов контейнеров.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highlight w:val="none"/>
                <w:shd w:fill="FFFF00" w:val="clear"/>
              </w:rPr>
            </w:pPr>
            <w:r>
              <w:rPr>
                <w:rFonts w:ascii="Times New Roman" w:hAnsi="Times New Roman"/>
                <w:sz w:val="24"/>
                <w:szCs w:val="24"/>
                <w:shd w:fill="FFFF00" w:val="clear"/>
              </w:rPr>
              <w:t>Дополнительно, по запросу Заказчика должна быть предоставлена возможность иметь доступ к объектному хранилищу, совместимому с протоколом S3.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рамках оказания Услуги Исполнитель обязан обеспечить непрерывное функционирование всех информационных систем, указанных в Приложении № 3.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Исполнитель обязан обеспечить целевую архитектуру (в соответствии с Приложением № 4) для всех информационных систем, указанных в независимых контурах: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продуктивный;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тестовый;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контур для разработки. </w:t>
            </w:r>
          </w:p>
          <w:p>
            <w:pPr>
              <w:pStyle w:val="Normal"/>
              <w:spacing w:lineRule="auto" w:line="240"/>
              <w:ind w:left="3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Для следующих бизнес-приложений:</w:t>
            </w:r>
          </w:p>
          <w:p>
            <w:pPr>
              <w:pStyle w:val="ListParagraph"/>
              <w:widowControl/>
              <w:numPr>
                <w:ilvl w:val="2"/>
                <w:numId w:val="3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«1С: Зарплата и Управление персоналом 3.1» и выше,</w:t>
            </w:r>
          </w:p>
          <w:p>
            <w:pPr>
              <w:pStyle w:val="ListParagraph"/>
              <w:widowControl/>
              <w:numPr>
                <w:ilvl w:val="2"/>
                <w:numId w:val="3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«1С: Бухгалтерия предприятия 3.0» и выше,</w:t>
            </w:r>
          </w:p>
          <w:p>
            <w:pPr>
              <w:pStyle w:val="ListParagraph"/>
              <w:widowControl/>
              <w:numPr>
                <w:ilvl w:val="2"/>
                <w:numId w:val="3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«1С: Управление холдингом 3.1» и выше,</w:t>
            </w:r>
          </w:p>
          <w:p>
            <w:pPr>
              <w:pStyle w:val="ListParagraph"/>
              <w:widowControl/>
              <w:numPr>
                <w:ilvl w:val="2"/>
                <w:numId w:val="3"/>
              </w:numPr>
              <w:spacing w:before="0" w:after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«1С: Предприятие. Облачная подсистема Фреш»,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 также обеспечить условия для проведения нагрузочного тестирования продуктивного контура на 3000 пользователей.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Исполнитель обязан обеспечить сетевое взаимодействие между контурами в соответствии с логической схемой, указанной в Приложении № 5.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Исполнитель обязан предоставить доступ Заказчику к пулу вычислительных ресурсов, развернутую целевую архитектуру во всех контурах (Приложение № 4), включая все информационные системы в каждом из них (в соответствии с Приложением № 3), не позднее 3 рабочих дней с даты подписания договора.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Все необходимые лицензии на операционные системы, системное и прикладное программное обеспечение предоставляет Заказчик.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Обеспечить реализацию организационных и технических мер по обеспечению безопасности персональных данных в соответствии с нормативными документами: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Федеральный закон Российской Федерации от 27 июля 2006 г. № 149-ФЗ «Об информации, информационных технологиях и о защите информации»;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Федеральный закон Российской Федерации от 27 июля 2006 г. -№ 152-ФЗ «О персональных данных» в редакции от Федерального закона от 2 июля 2021 г. № 331-ФЗ);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Приказ ФСТЭК России от 18 февраля 2013 г.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Функциональные требования «Выполнение работ по защите информации» от 07.06.2021 № ЦБЗ-96; 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 РЖД 18.002-2020 СТАНДАРТ ОАО «РЖД» «Управление информационной безопасностью общие положения».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981" w:hRule="atLeast"/>
        </w:trPr>
        <w:tc>
          <w:tcPr>
            <w:tcW w:w="19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21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Требования        к безопасности услуги.</w:t>
            </w:r>
          </w:p>
        </w:tc>
        <w:tc>
          <w:tcPr>
            <w:tcW w:w="611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Исполнитель должен обеспечить ограничение физического доступа к предоставляемым виртуальным вычислительным ресурсам и к оборудованию, используемому для оказания услуг.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Предоставляемые вычислительные ресурсы должны соответствовать требованиям по защите Персональных данных, предъявляемым в соответствии с Федеральным Законом №152-ФЗ от 27.07.2006 и приказом ФСТЭК России №21 от 18.02.2013 для защиты персональных данных до первого уровня защищенности включительно.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Для обеспечения защиты от DdoS атак Исполнитель должен предоставить в составе Услуги защиту на сетевом и транспортном уровне (L3, L4) и защищать сервисы от следующих типов атак: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атак с отражением на основе UDP (DNS, NTP, memcache и пр.);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атак с использованием фрагментированного IP трафика;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TCP SYN/RST/PSH flood;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различных типов UDP flood;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различных типов ICMP flood.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035" w:hRule="atLeast"/>
        </w:trPr>
        <w:tc>
          <w:tcPr>
            <w:tcW w:w="19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21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Требования        к качеству услуги</w:t>
            </w:r>
          </w:p>
        </w:tc>
        <w:tc>
          <w:tcPr>
            <w:tcW w:w="611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Требования к уровню обслуживания и доступности услуг:</w:t>
            </w:r>
          </w:p>
          <w:tbl>
            <w:tblPr>
              <w:tblW w:w="6095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 w:noHBand="0" w:noVBand="1" w:firstColumn="0" w:lastRow="0" w:lastColumn="0" w:firstRow="0"/>
            </w:tblPr>
            <w:tblGrid>
              <w:gridCol w:w="1187"/>
              <w:gridCol w:w="1978"/>
              <w:gridCol w:w="2930"/>
            </w:tblGrid>
            <w:tr>
              <w:trPr>
                <w:trHeight w:val="317" w:hRule="atLeast"/>
              </w:trPr>
              <w:tc>
                <w:tcPr>
                  <w:tcW w:w="11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№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п/п</w:t>
                  </w:r>
                </w:p>
              </w:tc>
              <w:tc>
                <w:tcPr>
                  <w:tcW w:w="19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Услуга</w:t>
                  </w:r>
                </w:p>
              </w:tc>
              <w:tc>
                <w:tcPr>
                  <w:tcW w:w="29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Время предоставления</w:t>
                  </w:r>
                </w:p>
              </w:tc>
            </w:tr>
            <w:tr>
              <w:trPr>
                <w:trHeight w:val="136" w:hRule="atLeast"/>
              </w:trPr>
              <w:tc>
                <w:tcPr>
                  <w:tcW w:w="11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9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Предоставления виртуальных вычислительных мощностей</w:t>
                  </w:r>
                </w:p>
              </w:tc>
              <w:tc>
                <w:tcPr>
                  <w:tcW w:w="29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24х7х365 – 24 часа в сутки, 7 дней в неделю, 365(6) дней в году</w:t>
                  </w:r>
                </w:p>
              </w:tc>
            </w:tr>
            <w:tr>
              <w:trPr>
                <w:trHeight w:val="136" w:hRule="atLeast"/>
              </w:trPr>
              <w:tc>
                <w:tcPr>
                  <w:tcW w:w="11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9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Доступность Услуги предоставления виртуальных вычислительных мощностей</w:t>
                  </w:r>
                </w:p>
              </w:tc>
              <w:tc>
                <w:tcPr>
                  <w:tcW w:w="29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99,98% работоспособности в месяц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664" w:hRule="atLeast"/>
        </w:trPr>
        <w:tc>
          <w:tcPr>
            <w:tcW w:w="19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21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Иные требования связанные           с определением соответствия оказываемой услуги потребностям заказчика</w:t>
            </w:r>
          </w:p>
        </w:tc>
        <w:tc>
          <w:tcPr>
            <w:tcW w:w="611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Техническая поддержка Заказчика должна оказываться круглосуточно в соответствии с Регламентом взаимодействия.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Уровни времени реакции поддержки</w:t>
            </w:r>
          </w:p>
          <w:tbl>
            <w:tblPr>
              <w:tblW w:w="6255" w:type="dxa"/>
              <w:jc w:val="left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 w:noHBand="1" w:noVBand="1" w:firstColumn="0" w:lastRow="0" w:lastColumn="0" w:firstRow="0"/>
            </w:tblPr>
            <w:tblGrid>
              <w:gridCol w:w="1884"/>
              <w:gridCol w:w="1842"/>
              <w:gridCol w:w="2529"/>
            </w:tblGrid>
            <w:tr>
              <w:trPr/>
              <w:tc>
                <w:tcPr>
                  <w:tcW w:w="188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Приоритет</w:t>
                  </w:r>
                </w:p>
              </w:tc>
              <w:tc>
                <w:tcPr>
                  <w:tcW w:w="184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Время реакции</w:t>
                  </w:r>
                </w:p>
              </w:tc>
              <w:tc>
                <w:tcPr>
                  <w:tcW w:w="252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Пример инцидента</w:t>
                  </w:r>
                </w:p>
              </w:tc>
            </w:tr>
            <w:tr>
              <w:trPr/>
              <w:tc>
                <w:tcPr>
                  <w:tcW w:w="188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Критический </w:t>
                  </w:r>
                </w:p>
              </w:tc>
              <w:tc>
                <w:tcPr>
                  <w:tcW w:w="184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15 мин</w:t>
                  </w:r>
                </w:p>
              </w:tc>
              <w:tc>
                <w:tcPr>
                  <w:tcW w:w="252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Недоступность инфраструктуры Заказчика</w:t>
                  </w:r>
                </w:p>
              </w:tc>
            </w:tr>
            <w:tr>
              <w:trPr/>
              <w:tc>
                <w:tcPr>
                  <w:tcW w:w="188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Значительный</w:t>
                  </w:r>
                </w:p>
              </w:tc>
              <w:tc>
                <w:tcPr>
                  <w:tcW w:w="184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60 мин</w:t>
                  </w:r>
                </w:p>
              </w:tc>
              <w:tc>
                <w:tcPr>
                  <w:tcW w:w="252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Снижение качества предоставления Услуги</w:t>
                  </w:r>
                </w:p>
              </w:tc>
            </w:tr>
            <w:tr>
              <w:trPr/>
              <w:tc>
                <w:tcPr>
                  <w:tcW w:w="188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Умеренный</w:t>
                  </w:r>
                </w:p>
              </w:tc>
              <w:tc>
                <w:tcPr>
                  <w:tcW w:w="184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60 мин</w:t>
                  </w:r>
                </w:p>
              </w:tc>
              <w:tc>
                <w:tcPr>
                  <w:tcW w:w="252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Незначительное или низкое влияние на Сервисы Заказчика</w:t>
                  </w:r>
                </w:p>
              </w:tc>
            </w:tr>
            <w:tr>
              <w:trPr/>
              <w:tc>
                <w:tcPr>
                  <w:tcW w:w="188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Низкий</w:t>
                  </w:r>
                </w:p>
              </w:tc>
              <w:tc>
                <w:tcPr>
                  <w:tcW w:w="184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180 мин</w:t>
                  </w:r>
                </w:p>
              </w:tc>
              <w:tc>
                <w:tcPr>
                  <w:tcW w:w="252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20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Консультации, рекомендации </w:t>
                  </w:r>
                </w:p>
              </w:tc>
            </w:tr>
          </w:tbl>
          <w:p>
            <w:pPr>
              <w:pStyle w:val="Normal"/>
              <w:spacing w:lineRule="auto" w:line="240"/>
              <w:ind w:left="3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Прием, регистрация и обработка заявок от уполномоченных представителей Заказчика должны быть организованы на базе службы Service Desk Исполнителя.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рамках технической поддержки Услуги Исполнитель должен обеспечить: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организацию службы технической поддержки;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предоставление единой точки контакта (телефонный номер, электронная почта) для возможности размещения и контроля выполнения заявок уполномоченными представителями Заказчика;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прием, регистрацию, первичную приоритизацию и обработку заявок;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информирование о статусах обработки заявок;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устранение сбоев и нарушений в предоставлении Услуги, находящихся в зоне ответственности Исполнителя;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информирование уполномоченных представителей Заказчика о проблемах в предоставлении Услуги;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разрешение инцидентов, возникающих в процессе предоставления Услуги; 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возможность контроля оказания Услуги для Заказчика;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эскалацию инцидентов в соответствии с Регламентом взаимодействия;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эскалацию проблем в соответствии с разработанным Регламентом взаимодействия;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оповещение Заказчика о проведении плановых регламентных работ, предназначенных для оказания Услуги;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формирование отчётности по зарегистрированным инцидентам и заявкам Заказчика.</w:t>
            </w:r>
          </w:p>
          <w:p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консультирование Заказчика по вопросам функционирования Услуги;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Исполнитель должен обеспечить доступность квалифицированного инженерно-технического персонала, достаточного для оказания Услуги.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516" w:hRule="atLeast"/>
        </w:trPr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3.      Разрешительная документация на оказание услуг.</w:t>
            </w:r>
          </w:p>
        </w:tc>
      </w:tr>
      <w:tr>
        <w:trPr>
          <w:trHeight w:val="464" w:hRule="atLeast"/>
        </w:trPr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Общие требования к центрам обработки данных (ЦОД):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ЦОДы, в рамках которых осуществляется предоставление услуг, должны размещаться на территории Москвы и Санкт-Петербурга.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ЦОД и все его инженерные системы должны соответствовать уровню надежности не ниже TIER III по классификации Uptime Institute.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Расстояние между основным и резервным ЦОД Исполнителя должно быть не менее 500 км.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Доступ в Интернет, телекоммуникации.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ЦОД Исполнителя Услуг должна быть возможность подключения не менее чем к пяти независимым телеком-провайдерам на скоростях не менее 10Гбит/с.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ЦОД должны быть организованы не менее двух независимых кабельных ввода.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Должна быть предоставлены каналы связи Заказчику до ММТС-9 и ММТС-10 на базе собственного сетевого оборудования, а также собственных волоконно-оптических линий связи Исполнителя.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Связанность между площадками должна быть организована с использованием волоконно-оптических линий связи с пропускной способностью не менее 10 Гбит/с с возможностью расширения до 40 Гбит/с.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Система бесперебойного электроснабжения должна быть выполнена на основе взаимно резервирующих систем источника бесперебойного питания (ИБП) с уровнем надежности, определяемым не ниже, чем уровень TIER III (соответствии с классификацией Uptime Institute: не менее 2 вводов от независимых районных подстанций, собственная распределительная трансформаторная подстанция (РТП), двойное резервирование электрических линий между РТП и ИБП, 2 группы ИБП на полную мощность оборудования с временем автономной работы не менее 15 минут, 2 электрических линии от ИБП до помещения щитовой ЦОД (по одной от каждой группы), свой электрический щит для каждой линии в помещении щитовой ЦОД, не менее 2 кабелей питания на каждую стойку от разных щитов.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Источники бесперебойного питания должны размещаться в отдельном помещении с организацией доступа только для обслуживающего персонала и собственной установкой поддержания климатических параметров.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Для обеспечения гарантированного электроснабжения, ЦОД должен быть обеспечен системой гарантированного электроснабжения с уровнем надежности, определяемым не ниже, чем уровень TIER III (соответствии с классификацией Uptime Institute). Уровень резервирования дизель-генераторная установка  (ДГУ) должен быть не ниже, чем N+1, где N≥1. Хранилище дизельного топлива должно быть объемом, обеспечивающим работу всех ДГУ для обеспечения 100% критически важной нагрузки ЦОД в течение не менее 12 (двенадцати) часов. Поставщик должен иметь не менее одного действующего договора с топливной компанией на подвоз необходимого объема топлива автоцистернами, для обеспечения бесперебойной работы в течение 60 (шестидесяти) часов.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Оборудование ЦОД должно быть подключено к заземляющим устройствам, согласно действующим нормативным документам.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Система кондиционирования должна обеспечивать следующие параметры окружающей среды в машинном зале и в электротехнических помещениях: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Температура от 20 °С до 28 °С.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Точки нормальной настройки: 24 °С.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Точность поддержания температуры: ±2 °С.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Относительная влажность от 30% до 70%.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Точки нормальной настройки: 50% относительной влажности.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Точность поддержания относительной влажности: ±5%.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Максимальная скорость изменения температуры в машинных залах не должна превышать: ±5 °С в час.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Скорость изменения влажности: не более 10% в час.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Все элементы систем кондиционирования должны быть выполнены по уровню надежности не ниже, чем TIER III (в соответствии с классификацией Uptime Institute) с резервированием по оборудованию не ниже, чем N+1, где N≥1.  Производительность по холоду системы холодоснабжения без учета резервирования должна быть выше тепловыделения от размещаемого оборудования на Объекте. Все узлы системы холодоснабжения должны быть запитаны по 1-й особой группе электропитания.  Климатическое оборудование должно иметь температурный диапазон работы не ниже максимальной (минимальной) температуры, зафиксированной для региона размещения ЦОД (СниП 23-01-99 «Строительная климатология»). Работа холодильного оборудования должна контролироваться системой мониторинга. 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Система автоматического газового пожаротушения в помещениях машинного зала ЦОД, комнатах ИБП, главного распределительного щита (ГРЩ) и электрощитовой ЦОД, резервный запас огнетушащего газа должен быть инсталлирован в систему и подключаться после расходования основного без проведения монтажных работ.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ConsTitle"/>
        <w:widowControl/>
        <w:tabs>
          <w:tab w:val="clear" w:pos="708"/>
          <w:tab w:val="left" w:pos="1620" w:leader="none"/>
        </w:tabs>
        <w:rPr>
          <w:rFonts w:ascii="Times New Roman" w:hAnsi="Times New Roman"/>
          <w:szCs w:val="16"/>
        </w:rPr>
      </w:pPr>
      <w:r>
        <w:rPr>
          <w:rFonts w:ascii="Times New Roman" w:hAnsi="Times New Roman"/>
          <w:szCs w:val="16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276" w:right="567" w:gutter="0" w:header="0" w:top="1134" w:footer="709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Cambria"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Tahoma">
    <w:charset w:val="01"/>
    <w:family w:val="roman"/>
    <w:pitch w:val="default"/>
  </w:font>
  <w:font w:name="PT Astra Serif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487773245"/>
    </w:sdtPr>
    <w:sdtContent>
      <w:p>
        <w:pPr>
          <w:pStyle w:val="Normal"/>
          <w:spacing w:before="0" w:after="200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18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487773245"/>
    </w:sdtPr>
    <w:sdtContent>
      <w:p>
        <w:pPr>
          <w:pStyle w:val="Normal"/>
          <w:spacing w:before="0" w:after="200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18</w:t>
        </w:r>
        <w:r>
          <w:rPr/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125"/>
        </w:tabs>
        <w:ind w:left="11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45"/>
        </w:tabs>
        <w:ind w:left="18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65"/>
        </w:tabs>
        <w:ind w:left="25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85"/>
        </w:tabs>
        <w:ind w:left="32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005"/>
        </w:tabs>
        <w:ind w:left="40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725"/>
        </w:tabs>
        <w:ind w:left="47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45"/>
        </w:tabs>
        <w:ind w:left="54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65"/>
        </w:tabs>
        <w:ind w:left="616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Courier New" w:hAnsi="Courier New" w:cs="Courier New" w:hint="default"/>
        <w:color w:val="auto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Courier New" w:hAnsi="Courier New" w:cs="Courier New" w:hint="default"/>
        <w:color w:val="auto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  <w:color w:val="auto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i w:val="fals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00eb2"/>
    <w:pPr>
      <w:widowControl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eastAsia="ru-RU" w:val="ru-RU" w:bidi="ar-SA"/>
    </w:rPr>
  </w:style>
  <w:style w:type="paragraph" w:styleId="Heading1">
    <w:name w:val="Heading 1"/>
    <w:basedOn w:val="Normal"/>
    <w:next w:val="Normal"/>
    <w:link w:val="1"/>
    <w:qFormat/>
    <w:rsid w:val="00f00eb2"/>
    <w:pPr>
      <w:keepNext w:val="true"/>
      <w:spacing w:lineRule="auto" w:line="240" w:before="240" w:after="60"/>
      <w:jc w:val="right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21"/>
    <w:uiPriority w:val="9"/>
    <w:semiHidden/>
    <w:unhideWhenUsed/>
    <w:qFormat/>
    <w:rsid w:val="00f23a69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f00eb2"/>
    <w:rPr>
      <w:rFonts w:ascii="Cambria" w:hAnsi="Cambria" w:eastAsia="Times New Roman" w:cs="Times New Roman"/>
      <w:b/>
      <w:bCs/>
      <w:kern w:val="2"/>
      <w:sz w:val="32"/>
      <w:szCs w:val="32"/>
      <w:lang w:eastAsia="ru-RU"/>
    </w:rPr>
  </w:style>
  <w:style w:type="character" w:styleId="Style12" w:customStyle="1">
    <w:name w:val="Заголовок Знак"/>
    <w:basedOn w:val="DefaultParagraphFont"/>
    <w:qFormat/>
    <w:rsid w:val="00f00eb2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3" w:customStyle="1">
    <w:name w:val="Основной текст Знак"/>
    <w:basedOn w:val="DefaultParagraphFont"/>
    <w:uiPriority w:val="99"/>
    <w:qFormat/>
    <w:rsid w:val="00f00eb2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4" w:customStyle="1">
    <w:name w:val="Основной текст с отступом Знак"/>
    <w:basedOn w:val="DefaultParagraphFont"/>
    <w:uiPriority w:val="99"/>
    <w:qFormat/>
    <w:rsid w:val="00f00eb2"/>
    <w:rPr>
      <w:rFonts w:ascii="Calibri" w:hAnsi="Calibri" w:eastAsia="Times New Roman" w:cs="Times New Roman"/>
      <w:lang w:eastAsia="ru-RU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f00eb2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ConsNormal" w:customStyle="1">
    <w:name w:val="ConsNormal Знак"/>
    <w:basedOn w:val="DefaultParagraphFont"/>
    <w:link w:val="ConsNormal1"/>
    <w:qFormat/>
    <w:locked/>
    <w:rsid w:val="00f00eb2"/>
    <w:rPr>
      <w:rFonts w:ascii="Arial" w:hAnsi="Arial" w:eastAsia="Calibri" w:cs="Arial"/>
      <w:sz w:val="20"/>
      <w:szCs w:val="20"/>
      <w:lang w:eastAsia="ru-RU"/>
    </w:rPr>
  </w:style>
  <w:style w:type="character" w:styleId="Style16" w:customStyle="1">
    <w:name w:val="Без интервала Знак"/>
    <w:basedOn w:val="DefaultParagraphFont"/>
    <w:link w:val="NoSpacing"/>
    <w:uiPriority w:val="1"/>
    <w:qFormat/>
    <w:locked/>
    <w:rsid w:val="00f00eb2"/>
    <w:rPr>
      <w:rFonts w:ascii="Calibri" w:hAnsi="Calibri" w:eastAsia="Times New Roman" w:cs="Calibri"/>
      <w:lang w:val="en-US"/>
    </w:rPr>
  </w:style>
  <w:style w:type="character" w:styleId="4" w:customStyle="1">
    <w:name w:val="Основной текст (4) + Не курсив"/>
    <w:qFormat/>
    <w:rsid w:val="00f00eb2"/>
    <w:rPr>
      <w:i/>
      <w:iCs/>
      <w:sz w:val="27"/>
      <w:szCs w:val="27"/>
      <w:shd w:fill="FFFFFF" w:val="clear"/>
    </w:rPr>
  </w:style>
  <w:style w:type="character" w:styleId="Style17" w:customStyle="1">
    <w:name w:val="Текст сноски Знак"/>
    <w:basedOn w:val="DefaultParagraphFont"/>
    <w:qFormat/>
    <w:rsid w:val="00f00eb2"/>
    <w:rPr>
      <w:rFonts w:ascii="Calibri" w:hAnsi="Calibri" w:eastAsia="Times New Roman" w:cs="Times New Roman"/>
      <w:sz w:val="20"/>
      <w:szCs w:val="20"/>
      <w:lang w:eastAsia="ru-RU"/>
    </w:rPr>
  </w:style>
  <w:style w:type="character" w:styleId="Style18">
    <w:name w:val="Символ сноски"/>
    <w:basedOn w:val="DefaultParagraphFont"/>
    <w:uiPriority w:val="99"/>
    <w:unhideWhenUsed/>
    <w:qFormat/>
    <w:rsid w:val="00f00eb2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2" w:customStyle="1">
    <w:name w:val="Основной текст 2 Знак"/>
    <w:basedOn w:val="DefaultParagraphFont"/>
    <w:link w:val="BodyText2"/>
    <w:uiPriority w:val="99"/>
    <w:qFormat/>
    <w:rsid w:val="00f00eb2"/>
    <w:rPr>
      <w:rFonts w:ascii="Calibri" w:hAnsi="Calibri" w:eastAsia="Times New Roman" w:cs="Times New Roman"/>
      <w:lang w:eastAsia="ru-RU"/>
    </w:rPr>
  </w:style>
  <w:style w:type="character" w:styleId="3" w:customStyle="1">
    <w:name w:val="Основной текст 3 Знак"/>
    <w:basedOn w:val="DefaultParagraphFont"/>
    <w:link w:val="BodyText3"/>
    <w:uiPriority w:val="99"/>
    <w:qFormat/>
    <w:rsid w:val="00f00eb2"/>
    <w:rPr>
      <w:rFonts w:ascii="Calibri" w:hAnsi="Calibri" w:eastAsia="Times New Roman" w:cs="Times New Roman"/>
      <w:sz w:val="16"/>
      <w:szCs w:val="16"/>
      <w:lang w:eastAsia="ru-RU"/>
    </w:rPr>
  </w:style>
  <w:style w:type="character" w:styleId="Eop" w:customStyle="1">
    <w:name w:val="eop"/>
    <w:basedOn w:val="DefaultParagraphFont"/>
    <w:qFormat/>
    <w:rsid w:val="00f00eb2"/>
    <w:rPr/>
  </w:style>
  <w:style w:type="character" w:styleId="Normaltextrun" w:customStyle="1">
    <w:name w:val="normaltextrun"/>
    <w:basedOn w:val="DefaultParagraphFont"/>
    <w:qFormat/>
    <w:rsid w:val="00f00eb2"/>
    <w:rPr/>
  </w:style>
  <w:style w:type="character" w:styleId="Apple-converted-space" w:customStyle="1">
    <w:name w:val="apple-converted-space"/>
    <w:basedOn w:val="DefaultParagraphFont"/>
    <w:qFormat/>
    <w:rsid w:val="00f00eb2"/>
    <w:rPr/>
  </w:style>
  <w:style w:type="character" w:styleId="Style19" w:customStyle="1">
    <w:name w:val="Абзац списка Знак"/>
    <w:basedOn w:val="DefaultParagraphFont"/>
    <w:link w:val="ListParagraph"/>
    <w:uiPriority w:val="34"/>
    <w:qFormat/>
    <w:locked/>
    <w:rsid w:val="00f00eb2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20" w:customStyle="1">
    <w:name w:val="Текст выноски Знак"/>
    <w:basedOn w:val="DefaultParagraphFont"/>
    <w:link w:val="BalloonText"/>
    <w:uiPriority w:val="99"/>
    <w:semiHidden/>
    <w:qFormat/>
    <w:rsid w:val="00d21e6a"/>
    <w:rPr>
      <w:rFonts w:ascii="Tahoma" w:hAnsi="Tahoma" w:eastAsia="Times New Roman" w:cs="Times New Roman"/>
      <w:sz w:val="16"/>
      <w:szCs w:val="16"/>
      <w:lang w:val="x-none" w:eastAsia="x-none"/>
    </w:rPr>
  </w:style>
  <w:style w:type="character" w:styleId="Style21" w:customStyle="1">
    <w:name w:val="Нижний колонтитул Знак"/>
    <w:basedOn w:val="DefaultParagraphFont"/>
    <w:uiPriority w:val="99"/>
    <w:qFormat/>
    <w:rsid w:val="00d21e6a"/>
    <w:rPr>
      <w:rFonts w:ascii="Calibri" w:hAnsi="Calibri" w:eastAsia="Times New Roman" w:cs="Times New Roman"/>
      <w:lang w:eastAsia="ru-RU"/>
    </w:rPr>
  </w:style>
  <w:style w:type="character" w:styleId="Hyperlink">
    <w:name w:val="Hyperlink"/>
    <w:basedOn w:val="DefaultParagraphFont"/>
    <w:uiPriority w:val="99"/>
    <w:unhideWhenUsed/>
    <w:rsid w:val="007f6adc"/>
    <w:rPr>
      <w:color w:themeColor="hyperlink" w:val="0000FF"/>
      <w:u w:val="single"/>
    </w:rPr>
  </w:style>
  <w:style w:type="character" w:styleId="21" w:customStyle="1">
    <w:name w:val="Заголовок 2 Знак"/>
    <w:basedOn w:val="DefaultParagraphFont"/>
    <w:uiPriority w:val="9"/>
    <w:semiHidden/>
    <w:qFormat/>
    <w:rsid w:val="00f23a69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  <w:lang w:eastAsia="ru-RU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7f15dc"/>
    <w:rPr>
      <w:sz w:val="16"/>
      <w:szCs w:val="16"/>
    </w:rPr>
  </w:style>
  <w:style w:type="character" w:styleId="Style22" w:customStyle="1">
    <w:name w:val="Текст примечания Знак"/>
    <w:basedOn w:val="DefaultParagraphFont"/>
    <w:link w:val="Annotationtext"/>
    <w:uiPriority w:val="99"/>
    <w:qFormat/>
    <w:rsid w:val="007f15dc"/>
    <w:rPr>
      <w:rFonts w:ascii="Calibri" w:hAnsi="Calibri" w:eastAsia="Times New Roman" w:cs="Times New Roman"/>
      <w:sz w:val="20"/>
      <w:szCs w:val="20"/>
      <w:lang w:eastAsia="ru-RU"/>
    </w:rPr>
  </w:style>
  <w:style w:type="character" w:styleId="Style23" w:customStyle="1">
    <w:name w:val="Тема примечания Знак"/>
    <w:basedOn w:val="Style22"/>
    <w:link w:val="Annotationsubject"/>
    <w:uiPriority w:val="99"/>
    <w:semiHidden/>
    <w:qFormat/>
    <w:rsid w:val="007f15dc"/>
    <w:rPr>
      <w:rFonts w:ascii="Calibri" w:hAnsi="Calibri" w:eastAsia="Times New Roman" w:cs="Times New Roman"/>
      <w:b/>
      <w:bCs/>
      <w:sz w:val="20"/>
      <w:szCs w:val="20"/>
      <w:lang w:eastAsia="ru-RU"/>
    </w:rPr>
  </w:style>
  <w:style w:type="character" w:styleId="11" w:customStyle="1">
    <w:name w:val="Огл1(РЖД) Знак"/>
    <w:basedOn w:val="DefaultParagraphFont"/>
    <w:link w:val="12"/>
    <w:qFormat/>
    <w:rsid w:val="0019494f"/>
    <w:rPr>
      <w:rFonts w:ascii="Times New Roman" w:hAnsi="Times New Roman" w:eastAsia="" w:cs="" w:cstheme="majorBidi" w:eastAsiaTheme="majorEastAsia"/>
      <w:b/>
      <w:bCs/>
      <w:sz w:val="28"/>
      <w:szCs w:val="28"/>
    </w:rPr>
  </w:style>
  <w:style w:type="character" w:styleId="Style24" w:customStyle="1">
    <w:name w:val="ШрифтДок(РЖД) Знак"/>
    <w:basedOn w:val="DefaultParagraphFont"/>
    <w:link w:val="Style29"/>
    <w:qFormat/>
    <w:rsid w:val="0019494f"/>
    <w:rPr>
      <w:rFonts w:ascii="Times New Roman" w:hAnsi="Times New Roman" w:eastAsia="Times New Roman" w:cs="Times New Roman"/>
      <w:sz w:val="28"/>
      <w:szCs w:val="28"/>
    </w:rPr>
  </w:style>
  <w:style w:type="paragraph" w:styleId="Style25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styleId="BodyText">
    <w:name w:val="Body Text"/>
    <w:basedOn w:val="Normal"/>
    <w:link w:val="Style13"/>
    <w:uiPriority w:val="99"/>
    <w:rsid w:val="00f00eb2"/>
    <w:pPr>
      <w:spacing w:lineRule="auto" w:line="240" w:before="0" w:after="120"/>
      <w:jc w:val="right"/>
    </w:pPr>
    <w:rPr>
      <w:rFonts w:ascii="Times New Roman" w:hAnsi="Times New Roman"/>
      <w:sz w:val="24"/>
      <w:szCs w:val="24"/>
    </w:rPr>
  </w:style>
  <w:style w:type="paragraph" w:styleId="List">
    <w:name w:val="List"/>
    <w:basedOn w:val="BodyText"/>
    <w:pPr/>
    <w:rPr>
      <w:rFonts w:ascii="PT Astra Serif" w:hAnsi="PT Astra Serif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Style26">
    <w:name w:val="Указатель"/>
    <w:basedOn w:val="Normal"/>
    <w:qFormat/>
    <w:pPr>
      <w:suppressLineNumbers/>
    </w:pPr>
    <w:rPr>
      <w:rFonts w:ascii="PT Astra Serif" w:hAnsi="PT Astra Serif" w:cs="FreeSans"/>
    </w:rPr>
  </w:style>
  <w:style w:type="paragraph" w:styleId="Title">
    <w:name w:val="Title"/>
    <w:basedOn w:val="Normal"/>
    <w:link w:val="Style12"/>
    <w:qFormat/>
    <w:rsid w:val="00f00eb2"/>
    <w:pPr>
      <w:widowControl w:val="false"/>
      <w:spacing w:lineRule="auto" w:line="240" w:before="0" w:after="0"/>
      <w:jc w:val="center"/>
    </w:pPr>
    <w:rPr>
      <w:rFonts w:ascii="Times New Roman" w:hAnsi="Times New Roman"/>
      <w:b/>
      <w:bCs/>
      <w:sz w:val="20"/>
      <w:szCs w:val="20"/>
    </w:rPr>
  </w:style>
  <w:style w:type="paragraph" w:styleId="ConsTitle" w:customStyle="1">
    <w:name w:val="ConsTitle"/>
    <w:uiPriority w:val="99"/>
    <w:qFormat/>
    <w:rsid w:val="00f00eb2"/>
    <w:pPr>
      <w:widowControl w:val="false"/>
      <w:suppressAutoHyphens w:val="true"/>
      <w:bidi w:val="0"/>
      <w:spacing w:lineRule="auto" w:line="240" w:before="0" w:after="0"/>
      <w:jc w:val="left"/>
    </w:pPr>
    <w:rPr>
      <w:rFonts w:ascii="Arial" w:hAnsi="Arial" w:eastAsia="Calibri" w:cs="Times New Roman" w:eastAsiaTheme="minorHAnsi"/>
      <w:b/>
      <w:color w:val="auto"/>
      <w:kern w:val="2"/>
      <w:sz w:val="16"/>
      <w:szCs w:val="20"/>
      <w:lang w:eastAsia="ru-RU" w:val="ru-RU" w:bidi="ar-SA"/>
    </w:rPr>
  </w:style>
  <w:style w:type="paragraph" w:styleId="BodyTextIndent">
    <w:name w:val="Body Text Indent"/>
    <w:basedOn w:val="Normal"/>
    <w:link w:val="Style14"/>
    <w:uiPriority w:val="99"/>
    <w:unhideWhenUsed/>
    <w:rsid w:val="00f00eb2"/>
    <w:pPr>
      <w:spacing w:before="0" w:after="120"/>
      <w:ind w:left="283"/>
    </w:pPr>
    <w:rPr/>
  </w:style>
  <w:style w:type="paragraph" w:styleId="Style27">
    <w:name w:val="Колонтитул"/>
    <w:basedOn w:val="Normal"/>
    <w:qFormat/>
    <w:pPr/>
    <w:rPr/>
  </w:style>
  <w:style w:type="paragraph" w:styleId="Header">
    <w:name w:val="Header"/>
    <w:basedOn w:val="Normal"/>
    <w:link w:val="Style15"/>
    <w:uiPriority w:val="99"/>
    <w:rsid w:val="00f00eb2"/>
    <w:pPr>
      <w:widowControl w:val="false"/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>
      <w:rFonts w:ascii="Times New Roman" w:hAnsi="Times New Roman"/>
      <w:sz w:val="20"/>
      <w:szCs w:val="20"/>
    </w:rPr>
  </w:style>
  <w:style w:type="paragraph" w:styleId="ConsNormal1" w:customStyle="1">
    <w:name w:val="ConsNormal"/>
    <w:basedOn w:val="Normal"/>
    <w:link w:val="ConsNormal"/>
    <w:qFormat/>
    <w:rsid w:val="00f00eb2"/>
    <w:pPr>
      <w:snapToGrid w:val="false"/>
      <w:spacing w:lineRule="auto" w:line="240" w:before="0" w:after="0"/>
      <w:ind w:firstLine="720"/>
    </w:pPr>
    <w:rPr>
      <w:rFonts w:ascii="Arial" w:hAnsi="Arial" w:eastAsia="Calibri" w:cs="Arial"/>
      <w:sz w:val="20"/>
      <w:szCs w:val="20"/>
    </w:rPr>
  </w:style>
  <w:style w:type="paragraph" w:styleId="Style28" w:customStyle="1">
    <w:name w:val="áû÷íûé"/>
    <w:uiPriority w:val="99"/>
    <w:qFormat/>
    <w:rsid w:val="00f00eb2"/>
    <w:pPr>
      <w:widowControl/>
      <w:overflowPunct w:val="true"/>
      <w:bidi w:val="0"/>
      <w:spacing w:lineRule="auto" w:line="240" w:before="0" w:after="0"/>
      <w:jc w:val="right"/>
      <w:textAlignment w:val="baseline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ru-RU" w:val="ru-RU" w:bidi="ar-SA"/>
    </w:rPr>
  </w:style>
  <w:style w:type="paragraph" w:styleId="NoSpacing">
    <w:name w:val="No Spacing"/>
    <w:basedOn w:val="Normal"/>
    <w:link w:val="Style16"/>
    <w:uiPriority w:val="1"/>
    <w:qFormat/>
    <w:rsid w:val="00f00eb2"/>
    <w:pPr>
      <w:spacing w:lineRule="auto" w:line="240" w:before="0" w:after="0"/>
    </w:pPr>
    <w:rPr>
      <w:rFonts w:cs="Calibri"/>
      <w:lang w:val="en-US" w:eastAsia="en-US"/>
    </w:rPr>
  </w:style>
  <w:style w:type="paragraph" w:styleId="Standard" w:customStyle="1">
    <w:name w:val="Standard"/>
    <w:qFormat/>
    <w:rsid w:val="00f00eb2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Times New Roman" w:hAnsi="Times New Roman" w:eastAsia="Calibri" w:cs="Times New Roman" w:eastAsiaTheme="minorHAnsi"/>
      <w:color w:val="auto"/>
      <w:kern w:val="2"/>
      <w:sz w:val="24"/>
      <w:szCs w:val="24"/>
      <w:lang w:eastAsia="ru-RU" w:val="ru-RU" w:bidi="ar-SA"/>
    </w:rPr>
  </w:style>
  <w:style w:type="paragraph" w:styleId="Textbodyindent" w:customStyle="1">
    <w:name w:val="Text body indent"/>
    <w:basedOn w:val="Standard"/>
    <w:qFormat/>
    <w:rsid w:val="00f00eb2"/>
    <w:pPr>
      <w:spacing w:before="0" w:after="200"/>
      <w:ind w:firstLine="720" w:left="283"/>
    </w:pPr>
    <w:rPr>
      <w:rFonts w:ascii="Calibri" w:hAnsi="Calibri"/>
      <w:sz w:val="28"/>
      <w:szCs w:val="22"/>
    </w:rPr>
  </w:style>
  <w:style w:type="paragraph" w:styleId="FootnoteText">
    <w:name w:val="Footnote Text"/>
    <w:basedOn w:val="Normal"/>
    <w:link w:val="Style17"/>
    <w:unhideWhenUsed/>
    <w:qFormat/>
    <w:rsid w:val="00f00eb2"/>
    <w:pPr>
      <w:spacing w:lineRule="auto" w:line="240" w:before="0" w:after="0"/>
    </w:pPr>
    <w:rPr>
      <w:sz w:val="20"/>
      <w:szCs w:val="20"/>
    </w:rPr>
  </w:style>
  <w:style w:type="paragraph" w:styleId="BodyText2">
    <w:name w:val="Body Text 2"/>
    <w:basedOn w:val="Normal"/>
    <w:link w:val="2"/>
    <w:uiPriority w:val="99"/>
    <w:unhideWhenUsed/>
    <w:qFormat/>
    <w:rsid w:val="00f00eb2"/>
    <w:pPr>
      <w:spacing w:lineRule="auto" w:line="480" w:before="0" w:after="120"/>
    </w:pPr>
    <w:rPr/>
  </w:style>
  <w:style w:type="paragraph" w:styleId="BodyText3">
    <w:name w:val="Body Text 3"/>
    <w:basedOn w:val="Normal"/>
    <w:link w:val="3"/>
    <w:uiPriority w:val="99"/>
    <w:unhideWhenUsed/>
    <w:qFormat/>
    <w:rsid w:val="00f00eb2"/>
    <w:pPr>
      <w:spacing w:before="0" w:after="120"/>
    </w:pPr>
    <w:rPr>
      <w:sz w:val="16"/>
      <w:szCs w:val="16"/>
    </w:rPr>
  </w:style>
  <w:style w:type="paragraph" w:styleId="ListParagraph">
    <w:name w:val="List Paragraph"/>
    <w:basedOn w:val="Normal"/>
    <w:link w:val="Style19"/>
    <w:uiPriority w:val="34"/>
    <w:qFormat/>
    <w:rsid w:val="00f00eb2"/>
    <w:pPr>
      <w:widowControl w:val="false"/>
      <w:spacing w:lineRule="auto" w:line="240" w:before="0" w:after="0"/>
      <w:ind w:left="720"/>
      <w:contextualSpacing/>
    </w:pPr>
    <w:rPr>
      <w:rFonts w:ascii="Times New Roman" w:hAnsi="Times New Roman"/>
      <w:sz w:val="20"/>
      <w:szCs w:val="20"/>
    </w:rPr>
  </w:style>
  <w:style w:type="paragraph" w:styleId="Paragraph" w:customStyle="1">
    <w:name w:val="paragraph"/>
    <w:basedOn w:val="Normal"/>
    <w:qFormat/>
    <w:rsid w:val="00f00eb2"/>
    <w:pPr>
      <w:spacing w:lineRule="auto" w:line="240" w:beforeAutospacing="1" w:afterAutospacing="1"/>
    </w:pPr>
    <w:rPr>
      <w:rFonts w:ascii="Times New Roman" w:hAnsi="Times New Roman"/>
      <w:sz w:val="24"/>
      <w:szCs w:val="24"/>
    </w:rPr>
  </w:style>
  <w:style w:type="paragraph" w:styleId="22" w:customStyle="1">
    <w:name w:val="Пункт_2"/>
    <w:basedOn w:val="Normal"/>
    <w:uiPriority w:val="99"/>
    <w:qFormat/>
    <w:rsid w:val="00d21e6a"/>
    <w:pPr>
      <w:numPr>
        <w:ilvl w:val="0"/>
        <w:numId w:val="1"/>
      </w:numPr>
      <w:suppressAutoHyphens w:val="true"/>
      <w:spacing w:lineRule="auto" w:line="360" w:before="0" w:after="0"/>
      <w:jc w:val="both"/>
    </w:pPr>
    <w:rPr>
      <w:rFonts w:ascii="Times New Roman" w:hAnsi="Times New Roman"/>
      <w:sz w:val="28"/>
      <w:szCs w:val="28"/>
      <w:lang w:eastAsia="ar-SA"/>
    </w:rPr>
  </w:style>
  <w:style w:type="paragraph" w:styleId="BalloonText">
    <w:name w:val="Balloon Text"/>
    <w:basedOn w:val="Normal"/>
    <w:link w:val="Style20"/>
    <w:uiPriority w:val="99"/>
    <w:semiHidden/>
    <w:unhideWhenUsed/>
    <w:qFormat/>
    <w:rsid w:val="00d21e6a"/>
    <w:pPr>
      <w:spacing w:lineRule="auto" w:line="240" w:before="0" w:after="0"/>
    </w:pPr>
    <w:rPr>
      <w:rFonts w:ascii="Tahoma" w:hAnsi="Tahoma"/>
      <w:sz w:val="16"/>
      <w:szCs w:val="16"/>
      <w:lang w:val="x-none" w:eastAsia="x-none"/>
    </w:rPr>
  </w:style>
  <w:style w:type="paragraph" w:styleId="Footer">
    <w:name w:val="Footer"/>
    <w:basedOn w:val="Normal"/>
    <w:link w:val="Style21"/>
    <w:uiPriority w:val="99"/>
    <w:unhideWhenUsed/>
    <w:rsid w:val="00d21e6a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Docdata" w:customStyle="1">
    <w:name w:val="docdata"/>
    <w:basedOn w:val="Normal"/>
    <w:qFormat/>
    <w:rsid w:val="00406c6b"/>
    <w:pPr>
      <w:spacing w:lineRule="auto" w:line="240" w:beforeAutospacing="1" w:afterAutospacing="1"/>
    </w:pPr>
    <w:rPr>
      <w:rFonts w:ascii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406c6b"/>
    <w:pPr>
      <w:spacing w:lineRule="auto" w:line="240" w:beforeAutospacing="1" w:afterAutospacing="1"/>
    </w:pPr>
    <w:rPr>
      <w:rFonts w:ascii="Times New Roman" w:hAnsi="Times New Roman"/>
      <w:sz w:val="24"/>
      <w:szCs w:val="24"/>
    </w:rPr>
  </w:style>
  <w:style w:type="paragraph" w:styleId="Annotationtext">
    <w:name w:val="annotation text"/>
    <w:basedOn w:val="Normal"/>
    <w:link w:val="Style22"/>
    <w:uiPriority w:val="99"/>
    <w:unhideWhenUsed/>
    <w:qFormat/>
    <w:rsid w:val="007f15dc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3"/>
    <w:uiPriority w:val="99"/>
    <w:semiHidden/>
    <w:unhideWhenUsed/>
    <w:qFormat/>
    <w:rsid w:val="007f15dc"/>
    <w:pPr/>
    <w:rPr>
      <w:b/>
      <w:bCs/>
    </w:rPr>
  </w:style>
  <w:style w:type="paragraph" w:styleId="12" w:customStyle="1">
    <w:name w:val="Огл1(РЖД)"/>
    <w:basedOn w:val="Heading1"/>
    <w:next w:val="Normal"/>
    <w:link w:val="11"/>
    <w:qFormat/>
    <w:rsid w:val="0019494f"/>
    <w:pPr>
      <w:keepLines/>
      <w:numPr>
        <w:ilvl w:val="0"/>
        <w:numId w:val="5"/>
      </w:numPr>
      <w:spacing w:lineRule="auto" w:line="360" w:before="120" w:after="120"/>
      <w:jc w:val="center"/>
    </w:pPr>
    <w:rPr>
      <w:rFonts w:ascii="Times New Roman" w:hAnsi="Times New Roman" w:eastAsia="" w:cs="" w:cstheme="majorBidi" w:eastAsiaTheme="majorEastAsia"/>
      <w:kern w:val="0"/>
      <w:sz w:val="28"/>
      <w:szCs w:val="28"/>
      <w:lang w:eastAsia="en-US"/>
    </w:rPr>
  </w:style>
  <w:style w:type="paragraph" w:styleId="23" w:customStyle="1">
    <w:name w:val="Огл2(РЖД)"/>
    <w:basedOn w:val="12"/>
    <w:next w:val="Normal"/>
    <w:qFormat/>
    <w:rsid w:val="0019494f"/>
    <w:pPr>
      <w:tabs>
        <w:tab w:val="clear" w:pos="708"/>
        <w:tab w:val="left" w:pos="360" w:leader="none"/>
      </w:tabs>
      <w:outlineLvl w:val="1"/>
    </w:pPr>
    <w:rPr>
      <w:rFonts w:cs="" w:cstheme="minorBidi"/>
      <w:szCs w:val="24"/>
    </w:rPr>
  </w:style>
  <w:style w:type="paragraph" w:styleId="31" w:customStyle="1">
    <w:name w:val="Огл3(РЖД)"/>
    <w:basedOn w:val="23"/>
    <w:next w:val="Normal"/>
    <w:qFormat/>
    <w:rsid w:val="0019494f"/>
    <w:pPr>
      <w:outlineLvl w:val="2"/>
    </w:pPr>
    <w:rPr/>
  </w:style>
  <w:style w:type="paragraph" w:styleId="41" w:customStyle="1">
    <w:name w:val="Огл4(РЖД)"/>
    <w:basedOn w:val="31"/>
    <w:next w:val="Normal"/>
    <w:qFormat/>
    <w:rsid w:val="0019494f"/>
    <w:pPr>
      <w:ind w:hanging="504" w:left="1224"/>
    </w:pPr>
    <w:rPr/>
  </w:style>
  <w:style w:type="paragraph" w:styleId="Style29" w:customStyle="1">
    <w:name w:val="ШрифтДок(РЖД)"/>
    <w:basedOn w:val="Normal"/>
    <w:link w:val="Style24"/>
    <w:qFormat/>
    <w:rsid w:val="0019494f"/>
    <w:pPr>
      <w:spacing w:lineRule="auto" w:line="240" w:before="0" w:after="0"/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Revision">
    <w:name w:val="Revision"/>
    <w:uiPriority w:val="99"/>
    <w:semiHidden/>
    <w:qFormat/>
    <w:rsid w:val="000f2f42"/>
    <w:pPr>
      <w:widowControl/>
      <w:bidi w:val="0"/>
      <w:spacing w:lineRule="auto" w:line="240"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eastAsia="ru-RU" w:val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1"/>
    <w:uiPriority w:val="59"/>
    <w:rsid w:val="00111c7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53C0A7-E8E7-4BDA-A136-D42AD863B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LibreOffice/24.2.3.2$Linux_X86_64 LibreOffice_project/420$Build-2</Application>
  <AppVersion>15.0000</AppVersion>
  <Pages>18</Pages>
  <Words>4191</Words>
  <Characters>28556</Characters>
  <CharactersWithSpaces>32298</CharactersWithSpaces>
  <Paragraphs>387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2024-10-03T08:01:00Z</dcterms:created>
  <dc:creator>urist</dc:creator>
  <dc:description/>
  <dc:language>ru-RU</dc:language>
  <cp:lastModifiedBy/>
  <cp:lastPrinted>2024-02-21T07:30:00Z</cp:lastPrinted>
  <dcterms:modified xsi:type="dcterms:W3CDTF">2024-10-29T15:39:16Z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