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3A5C"/>
          <w:sz w:val="32"/>
          <w:szCs w:val="32"/>
        </w:rPr>
        <w:t xml:space="preserve">СТОИМОСТЬ ДОГОВОРНЫХ УСЛОВИЙ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Финансовая оценка санкций и денежных обременений Заказчика</w:t>
      </w:r>
    </w:p>
    <w:p>
      <w:pPr>
        <w:spacing w:after="300"/>
        <w:jc w:val="center"/>
      </w:pPr>
      <w:r>
        <w:rPr>
          <w:i/>
          <w:iCs/>
          <w:color w:val="555555"/>
          <w:sz w:val="21"/>
          <w:szCs w:val="21"/>
        </w:rPr>
        <w:t xml:space="preserve">Приложение к правовому заключению по договору №ДП-13-26-ЛДИ от 17.08.2026</w:t>
      </w:r>
    </w:p>
    <w:p>
      <w:pPr>
        <w:pStyle w:val="Heading1"/>
        <w:spacing w:after="160" w:before="320"/>
      </w:pPr>
      <w:r>
        <w:rPr>
          <w:b/>
          <w:bCs/>
          <w:color w:val="1A3A5C"/>
          <w:sz w:val="26"/>
          <w:szCs w:val="26"/>
        </w:rPr>
        <w:t xml:space="preserve">1. Постановка задачи и модельные допущения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Цель — перевести условия договора, обременяющие Заказчика, в денежное выражение: сколько стоит каждое условие и какова совокупная экспозиция. Оценка разделена на два блока, поскольку они принципиально различаются по величине: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собственно штрафные санкции — договорная неустойка по п. 6.4 (раздел 2);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«квазисанкции» — условия, которые формально неустойкой не являются, но приводят к денежным потерям, кратно превышающим неустойку: автоматическая приёмка, невозврат аванса, возмещение убытков без ограничения, платность корректировок (раздел 3).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Цена договора в тексте отсутствует </w:t>
      </w:r>
      <w:r>
        <w:rPr>
          <w:sz w:val="22"/>
          <w:szCs w:val="22"/>
        </w:rPr>
        <w:t xml:space="preserve">(определяется Приложением №3, которое не представлено), поэтому все величины даны двояко: в процентах от цены договора (далее — Ц) и в рублях для модельной цены. Модельные допущения подлежат замене на фактические — после этого все расчёты пересчитываются по приведённым формулам.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200"/>
        <w:gridCol w:w="3400"/>
      </w:tblGrid>
      <w:tr>
        <w:trPr>
          <w:tblHeader/>
        </w:trPr>
        <w:tc>
          <w:tcPr>
            <w:tcW w:type="dxa" w:w="43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22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Модельное значение</w:t>
            </w:r>
          </w:p>
        </w:tc>
        <w:tc>
          <w:tcPr>
            <w:tcW w:type="dxa" w:w="34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Источник фактического значения</w:t>
            </w:r>
          </w:p>
        </w:tc>
      </w:tr>
      <w:tr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Цена договора (Ц)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3 000 000 руб.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Приложение №3 (не представлено)</w:t>
            </w:r>
          </w:p>
        </w:tc>
      </w:tr>
      <w:tr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Аванс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30% Ц = 900 000 руб.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Приложение №4 (не представлено)</w:t>
            </w:r>
          </w:p>
        </w:tc>
      </w:tr>
      <w:tr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Этапность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 равных этапа по 1 000 000 руб.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Приложение №4</w:t>
            </w:r>
          </w:p>
        </w:tc>
      </w:tr>
      <w:tr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Рентабельность Исполнителя (для оценки его упущенной выгоды)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25%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Оценочно; в споре определяется экспертизой</w:t>
            </w:r>
          </w:p>
        </w:tc>
      </w:tr>
      <w:tr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Стоимость финансирования для Заказчика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20% годовых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Фактическая ставка кредитования Заказчика</w:t>
            </w:r>
          </w:p>
        </w:tc>
      </w:tr>
      <w:tr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Ключевая ставка (для сравнения со ст. 395 ГК РФ)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16% годовых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Актуальное значение на дату расчёта</w:t>
            </w:r>
          </w:p>
        </w:tc>
      </w:tr>
      <w:tr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Стоимость судебной строительно-технической экспертизы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300 000 руб.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Оценочно (диапазон 150 000 – 500 000)</w:t>
            </w:r>
          </w:p>
        </w:tc>
      </w:tr>
      <w:tr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Длительность спора о качестве этапа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180 дней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Оценочно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A3A5C"/>
          <w:sz w:val="26"/>
          <w:szCs w:val="26"/>
        </w:rPr>
        <w:t xml:space="preserve">2. Блок А. Собственно штрафные санкции на Заказчика (п. 6.4)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Условие: </w:t>
      </w:r>
      <w:r>
        <w:rPr>
          <w:sz w:val="22"/>
          <w:szCs w:val="22"/>
        </w:rPr>
        <w:t xml:space="preserve">при нарушении Заказчиком сроков приёмки и/или оплаты — пени 0,01% от суммы долга за каждый день просрочки. Ограничение максимальной суммы (cap) не установлено.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Формула: </w:t>
      </w:r>
      <w:r>
        <w:rPr>
          <w:sz w:val="22"/>
          <w:szCs w:val="22"/>
        </w:rPr>
        <w:t xml:space="preserve">П = Д × 0,0001 × N, где Д — сумма долга, N — число дней просрочки. Годовой эквивалент ставки: 0,01% × 365 = </w:t>
      </w:r>
      <w:r>
        <w:rPr>
          <w:b/>
          <w:bCs/>
          <w:sz w:val="22"/>
          <w:szCs w:val="22"/>
        </w:rPr>
        <w:t xml:space="preserve">3,65% годовых</w:t>
      </w:r>
      <w:r>
        <w:rPr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b/>
          <w:bCs/>
          <w:color w:val="2E5C86"/>
          <w:sz w:val="23"/>
          <w:szCs w:val="23"/>
        </w:rPr>
        <w:t xml:space="preserve">2.1. Расчёт в абсолютных суммах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2500"/>
      </w:tblGrid>
      <w:tr>
        <w:trPr>
          <w:tblHeader/>
        </w:trPr>
        <w:tc>
          <w:tcPr>
            <w:tcW w:type="dxa" w:w="26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Просрочка оплаты</w:t>
            </w:r>
          </w:p>
        </w:tc>
        <w:tc>
          <w:tcPr>
            <w:tcW w:type="dxa" w:w="24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Долг 1 000 000 руб.</w:t>
            </w:r>
          </w:p>
        </w:tc>
        <w:tc>
          <w:tcPr>
            <w:tcW w:type="dxa" w:w="24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Долг 3 000 000 руб.</w:t>
            </w:r>
          </w:p>
        </w:tc>
        <w:tc>
          <w:tcPr>
            <w:tcW w:type="dxa" w:w="25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В % от суммы долга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10 дней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1 000 руб.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3 000 руб.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0,10%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30 дней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3 000 руб.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9 000 руб.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0,30%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90 дней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9 000 руб.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27 000 руб.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0,90%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180 дней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18 000 руб.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54 000 руб.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1,80%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365 дней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36 500 руб.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109 500 руб.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3,65%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5C86"/>
          <w:sz w:val="23"/>
          <w:szCs w:val="23"/>
        </w:rPr>
        <w:t xml:space="preserve">2.2. Сравнение с законной альтернативой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Ключевой вывод по этому пункту неочевиден. Если бы договорная неустойка не была установлена, к просрочке оплаты применялись бы проценты по ст. 395 ГК РФ по ключевой ставке (при наличии договорной неустойки проценты по ст. 395 ГК РФ не начисляются — п. 4 ст. 395 ГК РФ). Ставка 0,01% в день соответствует 3,65% годовых, то есть в 3–5 раз ниже ключевой ставки.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2300"/>
        <w:gridCol w:w="2400"/>
      </w:tblGrid>
      <w:tr>
        <w:trPr>
          <w:tblHeader/>
        </w:trPr>
        <w:tc>
          <w:tcPr>
            <w:tcW w:type="dxa" w:w="29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Просрочка 90 дней, долг 1 000 000 руб.</w:t>
            </w:r>
          </w:p>
        </w:tc>
        <w:tc>
          <w:tcPr>
            <w:tcW w:type="dxa" w:w="23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По п. 6.4 (3,65%)</w:t>
            </w:r>
          </w:p>
        </w:tc>
        <w:tc>
          <w:tcPr>
            <w:tcW w:type="dxa" w:w="23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По ст. 395 ГК РФ</w:t>
            </w:r>
          </w:p>
        </w:tc>
        <w:tc>
          <w:tcPr>
            <w:tcW w:type="dxa" w:w="24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Экономия Заказчика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Ключевая ставка 12%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9 000 руб.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29 589 руб.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20 589 руб.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Ключевая ставка 16%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9 000 руб.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39 452 руб.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30 452 руб.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Ключевая ставка 20%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9 000 руб.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49 315 руб.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40 315 руб.</w:t>
            </w:r>
          </w:p>
        </w:tc>
      </w:tr>
    </w:tbl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Стоимость условия п. 6.4 для Заказчика — отрицательная: условие выгодно. </w:t>
      </w:r>
      <w:r>
        <w:rPr>
          <w:sz w:val="22"/>
          <w:szCs w:val="22"/>
        </w:rPr>
        <w:t xml:space="preserve">Ставку 0,01% менять не следует — её повышение увеличит собственные расходы Заказчика. В протоколе разногласий по п. 6.4 требуется только одно изменение: исключить фразу «Размер неустойки не может быть изменен Арбитражным судом» (противоречит ст. 333 ГК РФ и в этой части ничтожна) — стоимость этой правки нулевая, значение — процессуальное.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Два уточнения, которые всё же стоит внести. </w:t>
      </w:r>
      <w:r>
        <w:rPr>
          <w:sz w:val="22"/>
          <w:szCs w:val="22"/>
        </w:rPr>
        <w:t xml:space="preserve">Первое: установить cap — не более 5% от просроченной суммы; при трёхлетнем споре о полной цене неустойка составит 3 000 000 × 3,65% × 3 ≈ </w:t>
      </w:r>
      <w:r>
        <w:rPr>
          <w:b/>
          <w:bCs/>
          <w:sz w:val="22"/>
          <w:szCs w:val="22"/>
        </w:rPr>
        <w:t xml:space="preserve">328 500 руб.</w:t>
      </w:r>
      <w:r>
        <w:rPr>
          <w:sz w:val="22"/>
          <w:szCs w:val="22"/>
        </w:rPr>
        <w:t xml:space="preserve">, и ограничение снимает этот хвост. Второе: неустойка по п. 6.4 является зачётной (п. 1 ст. 394 ГК РФ), то есть не ограничивает право Исполнителя взыскивать убытки сверх неустойки — низкая ставка сама по себе не защищает Заказчика от требований по п. 3.2, 5.5 и 9.5, которые и составляют основную сумму (раздел 3).</w:t>
      </w:r>
    </w:p>
    <w:p>
      <w:pPr>
        <w:pStyle w:val="Heading1"/>
        <w:spacing w:after="160" w:before="320"/>
      </w:pPr>
      <w:r>
        <w:rPr>
          <w:b/>
          <w:bCs/>
          <w:color w:val="1A3A5C"/>
          <w:sz w:val="26"/>
          <w:szCs w:val="26"/>
        </w:rPr>
        <w:t xml:space="preserve">3. Блок Б. Квазисанкции: где расположены реальные деньги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Приведённые ниже условия не названы в договоре штрафными, но каждое из них — механизм изъятия денег у Заказчика. Столбец «Максимальная экспозиция» — верхняя граница потерь при полной реализации риска, а не ожидаемая величина.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450"/>
        <w:gridCol w:w="2650"/>
        <w:gridCol w:w="1950"/>
        <w:gridCol w:w="2000"/>
      </w:tblGrid>
      <w:tr>
        <w:trPr>
          <w:tblHeader/>
        </w:trPr>
        <w:tc>
          <w:tcPr>
            <w:tcW w:type="dxa" w:w="85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Пункт</w:t>
            </w:r>
          </w:p>
        </w:tc>
        <w:tc>
          <w:tcPr>
            <w:tcW w:type="dxa" w:w="245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Механизм</w:t>
            </w:r>
          </w:p>
        </w:tc>
        <w:tc>
          <w:tcPr>
            <w:tcW w:type="dxa" w:w="265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195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Максимальная экспозиция, % Ц</w:t>
            </w:r>
          </w:p>
        </w:tc>
        <w:tc>
          <w:tcPr>
            <w:tcW w:type="dxa" w:w="20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При Ц = 3 млн руб.</w:t>
            </w:r>
          </w:p>
        </w:tc>
      </w:tr>
      <w:tr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4.2, 4.3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Пропуск срока приёмки (30 календарных дней) → работы считаются принятыми и подлежат оплате в полном объёме; право на мотивированный отказ утрачено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Стоимость этапа (при одном этапе — вся цена)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33% Ц за этап, до 100% Ц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1 000 000 – 3 000 000 руб.</w:t>
            </w:r>
          </w:p>
        </w:tc>
      </w:tr>
      <w:tr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3.2, 9.5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Неотработанный аванс не возвращается при расторжении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Аванс − стоимость выполненного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до 30% Ц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до 900 000 руб.</w:t>
            </w:r>
          </w:p>
        </w:tc>
      </w:tr>
      <w:tr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9.5, 5.5, 3.2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Возмещение «всех убытков» Исполнителя без ограничения размера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Рентабельность × неисполненный остаток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15–22% Ц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450 000 – 675 000 руб.</w:t>
            </w:r>
          </w:p>
        </w:tc>
      </w:tr>
      <w:tr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4.6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При досрочном прекращении — оплата «по фактически произведённым затратам» (неверифицируемо у ИП)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Заявленные затраты − справедливая стоимость готовности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до 15% Ц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до 450 000 руб.</w:t>
            </w:r>
          </w:p>
        </w:tc>
      </w:tr>
      <w:tr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Пересмотр «договорной цены» при увеличении объёмов, доп. заданиях, изменениях от смежных отделов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Доля дополнительных объёмов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10–25% Ц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300 000 – 750 000 руб.</w:t>
            </w:r>
          </w:p>
        </w:tc>
      </w:tr>
      <w:tr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4.7, 5.7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Любые изменения документации — за дополнительную плату, включая правки, которые должны быть безвозмездными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Доля корректировок × Ц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5–15% Ц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150 000 – 450 000 руб.</w:t>
            </w:r>
          </w:p>
        </w:tc>
      </w:tr>
      <w:tr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5.6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Расходы на экспертизу по спору о недостатках по умолчанию на Заказчике (хуже п. 5 ст. 720 ГК РФ)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Стоимость экспертизы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фиксировано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150 000 – 500 000 руб.</w:t>
            </w:r>
          </w:p>
        </w:tc>
      </w:tr>
      <w:tr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4.8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Обязанность принять и оплатить досрочно выполненные работы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Сумма × ставка × срок ускорения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~1% Ц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≈ 33 000 руб. (этап, 60 дней, 20%)</w:t>
            </w:r>
          </w:p>
        </w:tc>
      </w:tr>
      <w:tr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10.1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При неполной оплате права на использование документации остаются у Исполнителя — спор на малую сумму блокирует весь актив и стройку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Стоимость простоя строительства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не ограничена договором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спор на 150 000 руб. блокирует актив 2 850 000 руб. (1 : 19)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A3A5C"/>
          <w:sz w:val="26"/>
          <w:szCs w:val="26"/>
        </w:rPr>
        <w:t xml:space="preserve">4. Асимметрия: цена одного и того же нарушения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Наиболее показательная метрика — сопоставление стоимости нарушения для каждой из сторон при прочих равных.</w:t>
      </w:r>
    </w:p>
    <w:p>
      <w:pPr>
        <w:pStyle w:val="Heading2"/>
        <w:spacing w:after="120" w:before="240"/>
      </w:pPr>
      <w:r>
        <w:rPr>
          <w:b/>
          <w:bCs/>
          <w:color w:val="2E5C86"/>
          <w:sz w:val="23"/>
          <w:szCs w:val="23"/>
        </w:rPr>
        <w:t xml:space="preserve">4.1. Заказчик задержал платёж на 11 дней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Просрочка свыше 10 календарных дней открывает Исполнителю право на расторжение по п. 9.3(а).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4000"/>
      </w:tblGrid>
      <w:tr>
        <w:trPr>
          <w:tblHeader/>
        </w:trPr>
        <w:tc>
          <w:tcPr>
            <w:tcW w:type="dxa" w:w="59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Расчёт</w:t>
            </w:r>
          </w:p>
        </w:tc>
        <w:tc>
          <w:tcPr>
            <w:tcW w:type="dxa" w:w="40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Сумма</w:t>
            </w:r>
          </w:p>
        </w:tc>
      </w:tr>
      <w:tr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Собственная неустойка Заказчика по п. 6.4: 900 000 × 0,0001 × 11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990 руб.</w:t>
            </w:r>
          </w:p>
        </w:tc>
      </w:tr>
      <w:tr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Аванс выплачен (30% Ц)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900 000 руб.</w:t>
            </w:r>
          </w:p>
        </w:tc>
      </w:tr>
      <w:tr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Фактически выполнено на момент расторжения (модельно 10% Ц)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300 000 руб.</w:t>
            </w:r>
          </w:p>
        </w:tc>
      </w:tr>
      <w:tr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Неотработанный аванс, не подлежащий возврату (п. 9.5)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600 000 руб.</w:t>
            </w:r>
          </w:p>
        </w:tc>
      </w:tr>
      <w:tr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Убытки Исполнителя: 25% × неисполненный остаток 2 700 000 (п. 9.5, без ограничения)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675 000 руб.</w:t>
            </w:r>
          </w:p>
        </w:tc>
      </w:tr>
      <w:tr>
        <w:tc>
          <w:tcPr>
            <w:tcW w:type="dxa" w:w="590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ИТОГО потери Заказчика</w:t>
            </w:r>
          </w:p>
        </w:tc>
        <w:tc>
          <w:tcPr>
            <w:tcW w:type="dxa" w:w="400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1 275 000 руб. (42,5% Ц)</w:t>
            </w:r>
          </w:p>
        </w:tc>
      </w:tr>
      <w:tr>
        <w:tc>
          <w:tcPr>
            <w:tcW w:type="dxa" w:w="590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Диспропорция: потери / собственная неустойка за то же нарушение</w:t>
            </w:r>
          </w:p>
        </w:tc>
        <w:tc>
          <w:tcPr>
            <w:tcW w:type="dxa" w:w="400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≈ 1 288 : 1</w:t>
            </w:r>
          </w:p>
        </w:tc>
      </w:tr>
    </w:tbl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Вывод: </w:t>
      </w:r>
      <w:r>
        <w:rPr>
          <w:sz w:val="22"/>
          <w:szCs w:val="22"/>
        </w:rPr>
        <w:t xml:space="preserve">нарушение, «оцениваемое» договором в 990 руб., в действительности стоит до 1,275 млн руб. Именно поэтому основную ценность имеют правки не по п. 6.4, а по п. 9.3(а), 9.5 и 3.2.</w:t>
      </w:r>
    </w:p>
    <w:p>
      <w:pPr>
        <w:pStyle w:val="Heading2"/>
        <w:spacing w:after="120" w:before="240"/>
      </w:pPr>
      <w:r>
        <w:rPr>
          <w:b/>
          <w:bCs/>
          <w:color w:val="2E5C86"/>
          <w:sz w:val="23"/>
          <w:szCs w:val="23"/>
        </w:rPr>
        <w:t xml:space="preserve">4.2. Исполнитель задержал сдачу этапа на 60 дней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4000"/>
      </w:tblGrid>
      <w:tr>
        <w:trPr>
          <w:tblHeader/>
        </w:trPr>
        <w:tc>
          <w:tcPr>
            <w:tcW w:type="dxa" w:w="59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Расчёт</w:t>
            </w:r>
          </w:p>
        </w:tc>
        <w:tc>
          <w:tcPr>
            <w:tcW w:type="dxa" w:w="40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Сумма</w:t>
            </w:r>
          </w:p>
        </w:tc>
      </w:tr>
      <w:tr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Неустойка по п. 6.5: 1 000 000 × 0,0001 × 60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6 000 руб. (0,6% этапа)</w:t>
            </w:r>
          </w:p>
        </w:tc>
      </w:tr>
      <w:tr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 учётом п. 4.1 (дата выполнения = дата извещения о готовности) просрочка юридически не возникает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0 руб.</w:t>
            </w:r>
          </w:p>
        </w:tc>
      </w:tr>
      <w:tr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Право Заказчика на расторжение (п. 9.2 — только при письме Исполнителя о невозможности исполнения)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отсутствует</w:t>
            </w:r>
          </w:p>
        </w:tc>
      </w:tr>
      <w:tr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Возмещение убытков Заказчика (простой подрядчиков, сдвиг ввода линии) — договором не предусмотрено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взыскание только через суд по общим правилам</w:t>
            </w:r>
          </w:p>
        </w:tc>
      </w:tr>
      <w:tr>
        <w:tc>
          <w:tcPr>
            <w:tcW w:type="dxa" w:w="590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ИТОГО взыскиваемая сумма</w:t>
            </w:r>
          </w:p>
        </w:tc>
        <w:tc>
          <w:tcPr>
            <w:tcW w:type="dxa" w:w="400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от 0 до 6 000 руб.</w:t>
            </w:r>
          </w:p>
        </w:tc>
      </w:tr>
    </w:tbl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Сопоставление: </w:t>
      </w:r>
      <w:r>
        <w:rPr>
          <w:sz w:val="22"/>
          <w:szCs w:val="22"/>
        </w:rPr>
        <w:t xml:space="preserve">за 11 дней собственной просрочки Заказчик рискует 1 275 000 руб., за 60 дней просрочки Исполнителя получает от 0 до 6 000 руб. При рыночной ставке 0,1% в день та же просрочка Исполнителя стоила бы ему 60 000 руб., то есть </w:t>
      </w:r>
      <w:r>
        <w:rPr>
          <w:b/>
          <w:bCs/>
          <w:sz w:val="22"/>
          <w:szCs w:val="22"/>
        </w:rPr>
        <w:t xml:space="preserve">недополученная неустойка составляет 54 000 руб. на каждые 60 дней задержки одного этапа</w:t>
      </w:r>
      <w:r>
        <w:rPr>
          <w:sz w:val="22"/>
          <w:szCs w:val="22"/>
        </w:rPr>
        <w:t xml:space="preserve"> (при трёх этапах и типичной задержке 90 дней — до 243 000 руб., или 8,1% Ц).</w:t>
      </w:r>
    </w:p>
    <w:p>
      <w:pPr>
        <w:pStyle w:val="Heading1"/>
        <w:spacing w:after="160" w:before="320"/>
      </w:pPr>
      <w:r>
        <w:rPr>
          <w:b/>
          <w:bCs/>
          <w:color w:val="1A3A5C"/>
          <w:sz w:val="26"/>
          <w:szCs w:val="26"/>
        </w:rPr>
        <w:t xml:space="preserve">5. Сводная оценка по сценариям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Оценка сгруппирована по трём сценариям исполнения договора. Сценарий 1 отражает стоимость условий даже при полностью бесконфликтном исполнении.</w:t>
      </w:r>
    </w:p>
    <w:p>
      <w:pPr>
        <w:pStyle w:val="Heading2"/>
        <w:spacing w:after="120" w:before="240"/>
      </w:pPr>
      <w:r>
        <w:rPr>
          <w:b/>
          <w:bCs/>
          <w:color w:val="2E5C86"/>
          <w:sz w:val="23"/>
          <w:szCs w:val="23"/>
        </w:rPr>
        <w:t xml:space="preserve">Сценарий 1. Нормальное исполнение, спора нет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2000"/>
        <w:gridCol w:w="2000"/>
      </w:tblGrid>
      <w:tr>
        <w:trPr>
          <w:tblHeader/>
        </w:trPr>
        <w:tc>
          <w:tcPr>
            <w:tcW w:type="dxa" w:w="59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Источник расхода</w:t>
            </w:r>
          </w:p>
        </w:tc>
        <w:tc>
          <w:tcPr>
            <w:tcW w:type="dxa" w:w="20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% Ц</w:t>
            </w:r>
          </w:p>
        </w:tc>
        <w:tc>
          <w:tcPr>
            <w:tcW w:type="dxa" w:w="20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При Ц = 3 млн</w:t>
            </w:r>
          </w:p>
        </w:tc>
      </w:tr>
      <w:tr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п. 3.1 — пересмотр цены при дополнительных объёмах (модельно, нижняя граница)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10%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300 000 руб.</w:t>
            </w:r>
          </w:p>
        </w:tc>
      </w:tr>
      <w:tr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п. 4.7, 5.7 — платные корректировки, которые при сбалансированной редакции безвозмездны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5%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150 000 руб.</w:t>
            </w:r>
          </w:p>
        </w:tc>
      </w:tr>
      <w:tr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п. 4.8 — ускорение платежей при досрочной сдаче (стоимость денег)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≈1%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30 000 руб.</w:t>
            </w:r>
          </w:p>
        </w:tc>
      </w:tr>
      <w:tr>
        <w:tc>
          <w:tcPr>
            <w:tcW w:type="dxa" w:w="590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ИТОГО сверх цены работ</w:t>
            </w:r>
          </w:p>
        </w:tc>
        <w:tc>
          <w:tcPr>
            <w:tcW w:type="dxa" w:w="200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16%</w:t>
            </w:r>
          </w:p>
        </w:tc>
        <w:tc>
          <w:tcPr>
            <w:tcW w:type="dxa" w:w="200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480 000 руб.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5C86"/>
          <w:sz w:val="23"/>
          <w:szCs w:val="23"/>
        </w:rPr>
        <w:t xml:space="preserve">Сценарий 2. Спор о качестве одного этапа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2000"/>
        <w:gridCol w:w="2000"/>
      </w:tblGrid>
      <w:tr>
        <w:trPr>
          <w:tblHeader/>
        </w:trPr>
        <w:tc>
          <w:tcPr>
            <w:tcW w:type="dxa" w:w="59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Источник расхода</w:t>
            </w:r>
          </w:p>
        </w:tc>
        <w:tc>
          <w:tcPr>
            <w:tcW w:type="dxa" w:w="20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% Ц</w:t>
            </w:r>
          </w:p>
        </w:tc>
        <w:tc>
          <w:tcPr>
            <w:tcW w:type="dxa" w:w="20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При Ц = 3 млн</w:t>
            </w:r>
          </w:p>
        </w:tc>
      </w:tr>
      <w:tr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п. 4.2, 4.3 — оплата этапа без возможности мотивированного отказа (пропуск/спор о сроке)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33%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1 000 000 руб.</w:t>
            </w:r>
          </w:p>
        </w:tc>
      </w:tr>
      <w:tr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п. 6.4 — пени за просрочку оплаты спорного этапа (180 дней)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0,6%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18 000 руб.</w:t>
            </w:r>
          </w:p>
        </w:tc>
      </w:tr>
      <w:tr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п. 5.6 — расходы на экспертизу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10%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300 000 руб.</w:t>
            </w:r>
          </w:p>
        </w:tc>
      </w:tr>
      <w:tr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п. 4.7 — платная переделка вместо безвозмездного устранения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5%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150 000 руб.</w:t>
            </w:r>
          </w:p>
        </w:tc>
      </w:tr>
      <w:tr>
        <w:tc>
          <w:tcPr>
            <w:tcW w:type="dxa" w:w="590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ИТОГО прямых потерь</w:t>
            </w:r>
          </w:p>
        </w:tc>
        <w:tc>
          <w:tcPr>
            <w:tcW w:type="dxa" w:w="200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≈ 49%</w:t>
            </w:r>
          </w:p>
        </w:tc>
        <w:tc>
          <w:tcPr>
            <w:tcW w:type="dxa" w:w="200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1 468 000 руб.</w:t>
            </w:r>
          </w:p>
        </w:tc>
      </w:tr>
      <w:tr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Дополнительно — недополученная неустойка с Исполнителя (п. 4.1, 6.5)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2,7%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81 000 руб.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5C86"/>
          <w:sz w:val="23"/>
          <w:szCs w:val="23"/>
        </w:rPr>
        <w:t xml:space="preserve">Сценарий 3. Расторжение по инициативе Исполнителя (11 дней просрочки платежа)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2000"/>
        <w:gridCol w:w="2000"/>
      </w:tblGrid>
      <w:tr>
        <w:trPr>
          <w:tblHeader/>
        </w:trPr>
        <w:tc>
          <w:tcPr>
            <w:tcW w:type="dxa" w:w="59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Источник расхода</w:t>
            </w:r>
          </w:p>
        </w:tc>
        <w:tc>
          <w:tcPr>
            <w:tcW w:type="dxa" w:w="20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% Ц</w:t>
            </w:r>
          </w:p>
        </w:tc>
        <w:tc>
          <w:tcPr>
            <w:tcW w:type="dxa" w:w="20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При Ц = 3 млн</w:t>
            </w:r>
          </w:p>
        </w:tc>
      </w:tr>
      <w:tr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п. 9.5 — невозврат неотработанного аванса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600 000 руб.</w:t>
            </w:r>
          </w:p>
        </w:tc>
      </w:tr>
      <w:tr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п. 9.5 — возмещение «всех убытков» Исполнителя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22,5%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675 000 руб.</w:t>
            </w:r>
          </w:p>
        </w:tc>
      </w:tr>
      <w:tr>
        <w:tc>
          <w:tcPr>
            <w:tcW w:type="dxa" w:w="590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ИТОГО</w:t>
            </w:r>
          </w:p>
        </w:tc>
        <w:tc>
          <w:tcPr>
            <w:tcW w:type="dxa" w:w="200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42,5%</w:t>
            </w:r>
          </w:p>
        </w:tc>
        <w:tc>
          <w:tcPr>
            <w:tcW w:type="dxa" w:w="200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1 275 000 руб.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5C86"/>
          <w:sz w:val="23"/>
          <w:szCs w:val="23"/>
        </w:rPr>
        <w:t xml:space="preserve">Масштабирование по цене договора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33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Сценарий</w:t>
            </w:r>
          </w:p>
        </w:tc>
        <w:tc>
          <w:tcPr>
            <w:tcW w:type="dxa" w:w="165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Ц = 1 млн</w:t>
            </w:r>
          </w:p>
        </w:tc>
        <w:tc>
          <w:tcPr>
            <w:tcW w:type="dxa" w:w="165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Ц = 3 млн</w:t>
            </w:r>
          </w:p>
        </w:tc>
        <w:tc>
          <w:tcPr>
            <w:tcW w:type="dxa" w:w="165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Ц = 5 млн</w:t>
            </w:r>
          </w:p>
        </w:tc>
        <w:tc>
          <w:tcPr>
            <w:tcW w:type="dxa" w:w="165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Ц = 10 млн</w:t>
            </w:r>
          </w:p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1. Нормальное исполнение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160 000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480 000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800 000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1 600 000</w:t>
            </w:r>
          </w:p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2. Спор о качестве этапа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689 000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1 468 000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2 247 000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4 193 000</w:t>
            </w:r>
          </w:p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3. Расторжение по инициативе Исполнителя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425 000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1 275 000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2 125 000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4 250 000</w:t>
            </w:r>
          </w:p>
        </w:tc>
      </w:tr>
      <w:tr>
        <w:tc>
          <w:tcPr>
            <w:tcW w:type="dxa" w:w="330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Сценарии 2 и 3 последовательно</w:t>
            </w:r>
          </w:p>
        </w:tc>
        <w:tc>
          <w:tcPr>
            <w:tcW w:type="dxa" w:w="165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1 114 000</w:t>
            </w:r>
          </w:p>
        </w:tc>
        <w:tc>
          <w:tcPr>
            <w:tcW w:type="dxa" w:w="165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2 743 000</w:t>
            </w:r>
          </w:p>
        </w:tc>
        <w:tc>
          <w:tcPr>
            <w:tcW w:type="dxa" w:w="165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4 372 000</w:t>
            </w:r>
          </w:p>
        </w:tc>
        <w:tc>
          <w:tcPr>
            <w:tcW w:type="dxa" w:w="165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8 443 000</w:t>
            </w:r>
          </w:p>
        </w:tc>
      </w:tr>
    </w:tbl>
    <w:p>
      <w:pPr>
        <w:spacing w:after="120" w:line="276"/>
        <w:jc w:val="both"/>
      </w:pPr>
      <w:r>
        <w:rPr>
          <w:sz w:val="22"/>
          <w:szCs w:val="22"/>
        </w:rPr>
        <w:t xml:space="preserve">Суммы в рублях; сценарий 2 включает фиксированные расходы на экспертизу (300 000 руб.), поэтому его доля в % Ц снижается с ростом цены договора (69% при Ц = 1 млн, 42% при Ц = 10 млн). Сценарии 2 и 3 не исключают друг друга и могут наступить последовательно.</w:t>
      </w:r>
    </w:p>
    <w:p>
      <w:pPr>
        <w:pStyle w:val="Heading1"/>
        <w:spacing w:after="160" w:before="320"/>
      </w:pPr>
      <w:r>
        <w:rPr>
          <w:b/>
          <w:bCs/>
          <w:color w:val="1A3A5C"/>
          <w:sz w:val="26"/>
          <w:szCs w:val="26"/>
        </w:rPr>
        <w:t xml:space="preserve">6. Ранжирование правок по возвращаемым деньгам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Позиции протокола разногласий, упорядоченные по величине снимаемой экспозиции (при Ц = 3 млн). Это же — рекомендуемая последовательность уступок при переговорах: позиции 1–5 имеют денежное измерение и уступать их нельзя, позиции 8–10 можно обменивать.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50"/>
        <w:gridCol w:w="4650"/>
        <w:gridCol w:w="1800"/>
        <w:gridCol w:w="1800"/>
      </w:tblGrid>
      <w:tr>
        <w:trPr>
          <w:tblHeader/>
        </w:trPr>
        <w:tc>
          <w:tcPr>
            <w:tcW w:type="dxa" w:w="7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95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Пункт</w:t>
            </w:r>
          </w:p>
        </w:tc>
        <w:tc>
          <w:tcPr>
            <w:tcW w:type="dxa" w:w="465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Правка</w:t>
            </w:r>
          </w:p>
        </w:tc>
        <w:tc>
          <w:tcPr>
            <w:tcW w:type="dxa" w:w="18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Снимает, % Ц</w:t>
            </w:r>
          </w:p>
        </w:tc>
        <w:tc>
          <w:tcPr>
            <w:tcW w:type="dxa" w:w="18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При Ц = 3 млн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4.2, 4.3</w:t>
            </w:r>
          </w:p>
        </w:tc>
        <w:tc>
          <w:tcPr>
            <w:tcW w:type="dxa" w:w="4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Единый срок приёмки 15 рабочих дней, повторное уведомление до автоматической приёмки, сохранение права на скрытые недостатки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33% Ц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до 1 000 000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3.2, 9.5</w:t>
            </w:r>
          </w:p>
        </w:tc>
        <w:tc>
          <w:tcPr>
            <w:tcW w:type="dxa" w:w="4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Исключить невозврат аванса; возврат неотработанной части в 10 рабочих дней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20–30% Ц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до 900 000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9.5, 5.5, 3.2</w:t>
            </w:r>
          </w:p>
        </w:tc>
        <w:tc>
          <w:tcPr>
            <w:tcW w:type="dxa" w:w="4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Ограничить возмещение документально подтверждёнными прямыми расходами, исключить упущенную выгоду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15–22% Ц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до 675 000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dxa" w:w="4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Твёрдая цена; дополнительные работы — только по письменному поручению Заказчика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10–25% Ц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300 000 – 750 000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4.6</w:t>
            </w:r>
          </w:p>
        </w:tc>
        <w:tc>
          <w:tcPr>
            <w:tcW w:type="dxa" w:w="4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Оплата по Приложению №3 пропорционально готовности вместо «фактических затрат»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до 15% Ц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до 450 000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5.6</w:t>
            </w:r>
          </w:p>
        </w:tc>
        <w:tc>
          <w:tcPr>
            <w:tcW w:type="dxa" w:w="4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Расходы на экспертизу по п. 5 ст. 720 ГК РФ (на Исполнителе, если нарушения подтверждены)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фиксировано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150 000 – 500 000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4.7, 5.7</w:t>
            </w:r>
          </w:p>
        </w:tc>
        <w:tc>
          <w:tcPr>
            <w:tcW w:type="dxa" w:w="4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Безвозмездность устранения собственных недостатков Исполнителя; лимит бесплатных корректировок 5%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5–15% Ц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150 000 – 450 000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6.5, 4.1</w:t>
            </w:r>
          </w:p>
        </w:tc>
        <w:tc>
          <w:tcPr>
            <w:tcW w:type="dxa" w:w="4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Пеня Исполнителя 0,1%/день с cap 10% этапа; дата выполнения = дата фактической передачи результата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2,7–8,1% Ц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81 000 – 243 000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9.3(а), 9.2</w:t>
            </w:r>
          </w:p>
        </w:tc>
        <w:tc>
          <w:tcPr>
            <w:tcW w:type="dxa" w:w="4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Триггер расторжения — 30 дней просрочки с уведомлением; восстановление права Заказчика на отказ (ст. 717 ГК РФ)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открывает п. 2–3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условие доступа к 1 275 000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4.8</w:t>
            </w:r>
          </w:p>
        </w:tc>
        <w:tc>
          <w:tcPr>
            <w:tcW w:type="dxa" w:w="4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Досрочная сдача — только с согласия Заказчика, сроки оплаты не сокращаются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~1% Ц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≈ 33 000</w:t>
            </w:r>
          </w:p>
        </w:tc>
      </w:tr>
      <w:tr>
        <w:tc>
          <w:tcPr>
            <w:tcW w:type="dxa" w:w="700"/>
            <w:shd w:fill="F0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950"/>
            <w:shd w:fill="F0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6.4</w:t>
            </w:r>
          </w:p>
        </w:tc>
        <w:tc>
          <w:tcPr>
            <w:tcW w:type="dxa" w:w="4650"/>
            <w:shd w:fill="F0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Не повышать ставку 0,01% (условие выгодно Заказчику). Исключить оговорку о невозможности снижения неустойки судом; установить cap 5%</w:t>
            </w:r>
          </w:p>
        </w:tc>
        <w:tc>
          <w:tcPr>
            <w:tcW w:type="dxa" w:w="1800"/>
            <w:shd w:fill="F0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выгода</w:t>
            </w:r>
          </w:p>
        </w:tc>
        <w:tc>
          <w:tcPr>
            <w:tcW w:type="dxa" w:w="1800"/>
            <w:shd w:fill="F0F5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экономия 30 000 на каждые 90 дней просрочки 1 млн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A3A5C"/>
          <w:sz w:val="26"/>
          <w:szCs w:val="26"/>
        </w:rPr>
        <w:t xml:space="preserve">7. Что требуется для окончательного расчёта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Приложение №3 — цена договора и её разбивка по разделам (заменяет Ц во всех формулах).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Приложение №4 — размер аванса, этапность и сроки оплаты (заменяет допущения об авансе 30% и трёх равных этапах). Экспозиция по п. 4.3 равна стоимости наибольшего этапа: чем крупнее этап, тем выше риск.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Актуальная ключевая ставка на дату расчёта — для сравнения п. 6.4 со ст. 395 ГК РФ.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Фактическая стоимость финансирования Заказчика — для оценки п. 4.8 и стоимости отсрочек.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Ориентировочная стоимость строительно-монтажных работ по объекту и плановая дата ввода 3-й линии — без них не оценивается главная незакрытая позиция: убытки от ошибок рабочей документации и от сдвига сроков. Договор не предусматривает ответственности Исполнителя за такие убытки (взыскание возможно только по ст. 761 ГК РФ в судебном порядке), а стоимость переделки строительно-монтажных работ по ошибочной документации, как правило, кратно превышает цену проектирования.</w:t>
      </w:r>
    </w:p>
    <w:p>
      <w:pPr>
        <w:pBdr>
          <w:top w:val="single" w:color="AAAAAA" w:sz="6"/>
        </w:pBdr>
        <w:spacing w:after="0" w:before="400"/>
      </w:pPr>
    </w:p>
    <w:p>
      <w:pPr>
        <w:spacing w:after="120" w:line="276"/>
        <w:jc w:val="both"/>
      </w:pPr>
      <w:r>
        <w:rPr>
          <w:i/>
          <w:iCs/>
          <w:sz w:val="20"/>
          <w:szCs w:val="20"/>
        </w:rPr>
        <w:t xml:space="preserve">Расчёты построены на модельных допущениях раздела 1 и предназначены для оценки порядка величин и приоритизации переговорных позиций. Они не являются прогнозом судебного взыскания: суд вправе снизить неустойку (ст. 333 ГК РФ), а условие о невозврате аванса, вероятнее всего, будет признано ничтожным как противоречащее ст. 1102 ГК РФ — однако до вступления решения в силу соответствующие суммы остаются у Исполнителя, и стоимость самого судебного процесса в расчёт не включена.</w:t>
      </w:r>
    </w:p>
    <w:sectPr>
      <w:footerReference w:type="default" r:id="rId7"/>
      <w:pgSz w:w="11906" w:h="16838" w:orient="portrait"/>
      <w:pgMar w:top="1134" w:right="1000" w:bottom="1134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2026-08-17T16:20:46.932Z</dcterms:created>
  <dcterms:modified xsi:type="dcterms:W3CDTF">2026-08-17T16:20:46.932Z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