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АНАЛИЗ</w:t>
        <w:br/>
        <w:t>Вилочные AGV для склада сухих строительных смесей</w:t>
      </w:r>
    </w:p>
    <w:p>
      <w:pPr>
        <w:jc w:val="center"/>
      </w:pPr>
      <w:r>
        <w:rPr>
          <w:i/>
          <w:color w:val="666666"/>
          <w:sz w:val="20"/>
        </w:rPr>
        <w:t>Блочное штабелирование мешковой продукции · подбор техники, расчёт парка, бюджет, риски</w:t>
        <w:br/>
        <w:t>Дата подготовки: 23.06.2026 · данные рынка 2025–2026</w:t>
      </w:r>
    </w:p>
    <w:p/>
    <w:p>
      <w:pPr>
        <w:pStyle w:val="Heading1"/>
      </w:pPr>
      <w:r>
        <w:rPr>
          <w:b/>
          <w:color w:val="1F4E78"/>
          <w:sz w:val="30"/>
        </w:rPr>
        <w:t>1. Исходные данные и требования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3402"/>
            <w:shd w:val="clear" w:fill="1F4E78"/>
          </w:tcPr>
          <w:p>
            <w:r/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5953"/>
            <w:shd w:val="clear" w:fill="1F4E78"/>
          </w:tcPr>
          <w:p>
            <w:r/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Продукт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Сухие строительные смеси в мешках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Хранение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Блочное штабелирование «паллета на паллету» (без стеллажей)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Тяжёлая паллета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1,5 т → 3 яруса (подъём вил ~2 м)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Лёгкая паллета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1,2 т → 4 яруса (подъём вил ~2,25 м)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Максимальный подъём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≤ 3 м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Проход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Расширяемый; стандартный рабочий ~3,3–3,7 м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Грузопоток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12 000 т/мес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Режим работы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2 смены × 12 ч (~24 ч/сутки)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Температура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+5…+30 °C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val="clear" w:fill="F2F7FC"/>
          </w:tcPr>
          <w:p>
            <w:r/>
            <w:r>
              <w:rPr>
                <w:sz w:val="19"/>
              </w:rPr>
              <w:t>ВЫВОД ПО ТИПУ ТЕХНИКИ: требуется погрузчик с противовесом (counterbalance) грузоподъёмностью ≥ 1 500 кг и подъёмом 3–3,5 м. Ричтраки и штабелёры с опорными «лапами» не подходят — опоры не позволяют поставить паллету на паллету при блочном хранении.</w:t>
            </w:r>
          </w:p>
        </w:tc>
      </w:tr>
    </w:tbl>
    <w:p/>
    <w:p>
      <w:pPr>
        <w:pStyle w:val="Heading1"/>
      </w:pPr>
      <w:r>
        <w:rPr>
          <w:b/>
          <w:color w:val="1F4E78"/>
          <w:sz w:val="30"/>
        </w:rPr>
        <w:t>2. Краткий контекст рынка AGV (2025–2026)</w:t>
      </w:r>
    </w:p>
    <w:p>
      <w:pPr>
        <w:pStyle w:val="ListBullet"/>
      </w:pPr>
      <w:r>
        <w:t>Мировой рынок AGV+AMR: ~$6,4 млрд (2025) → ~$15,6 млрд к 2030, CAGR ~21% (Interact Analysis; оценки других агентств расходятся до 2×).</w:t>
      </w:r>
    </w:p>
    <w:p>
      <w:pPr>
        <w:pStyle w:val="ListBullet"/>
      </w:pPr>
      <w:r>
        <w:t>Идёт переход от классических AGV к AMR со SLAM-навигацией без инфраструктуры; лазерный сегмент пока крупнейший по выручке.</w:t>
      </w:r>
    </w:p>
    <w:p>
      <w:pPr>
        <w:pStyle w:val="ListBullet"/>
      </w:pPr>
      <w:r>
        <w:t>Китайские вендоры дают ~50% мировой выручки мобильных роботов и ~2/3 поставок; цена ниже западной на 30–40%.</w:t>
      </w:r>
    </w:p>
    <w:p>
      <w:pPr>
        <w:pStyle w:val="ListBullet"/>
      </w:pPr>
      <w:r>
        <w:t>Лидеры по сегментам: Китай — goods-to-person и вилочные AMR (Geek+, Hikrobot, VisionNav, Multiway); Япония — интеграция (Daifuku №1 в мире); Германия — вилочные AGV (KION/Linde/STILL, Jungheinrich); США — софтверные AMR (Balyo/Hyster-Yale, JBT, Vecna); Италия — LGV для FMCG (E80).</w:t>
      </w:r>
    </w:p>
    <w:p>
      <w:pPr>
        <w:pStyle w:val="ListBullet"/>
      </w:pPr>
      <w:r>
        <w:t>Ключевые выставки: LogiMAT (Штутгарт, март), MODEX/ProMat (США), CeMAT Asia (Шанхай, октябрь).</w:t>
      </w:r>
    </w:p>
    <w:p>
      <w:pPr>
        <w:pStyle w:val="ListBullet"/>
      </w:pPr>
      <w:r>
        <w:t>Стандарты: ISO 3691-4:2023, ANSI/ITSDF B56.5-2024 (в силе с 16.12.2025), EU Machinery Regulation 2023/1230 (применяется с 20.01.2027), интероперабельность — VDA 5050 v2.1.0.</w:t>
      </w:r>
    </w:p>
    <w:p>
      <w:pPr>
        <w:pStyle w:val="Heading1"/>
      </w:pPr>
      <w:r>
        <w:rPr>
          <w:b/>
          <w:color w:val="1F4E78"/>
          <w:sz w:val="30"/>
        </w:rPr>
        <w:t>3. Сравнение моделей counterbalance AGV</w:t>
      </w:r>
    </w:p>
    <w:p>
      <w:r>
        <w:rPr>
          <w:b w:val="0"/>
          <w:i/>
          <w:color w:val="666666"/>
          <w:sz w:val="18"/>
        </w:rPr>
        <w:t>Зелёным выделены рекомендованные модели; оранжевым — с оговорками или непригодные.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2381"/>
            <w:shd w:val="clear" w:fill="1F4E78"/>
          </w:tcPr>
          <w:p>
            <w:r/>
            <w:r>
              <w:rPr>
                <w:b/>
                <w:color w:val="FFFFFF"/>
                <w:sz w:val="17"/>
              </w:rPr>
              <w:t>Модель</w:t>
            </w:r>
          </w:p>
        </w:tc>
        <w:tc>
          <w:tcPr>
            <w:tcW w:type="dxa" w:w="1361"/>
            <w:shd w:val="clear" w:fill="1F4E78"/>
          </w:tcPr>
          <w:p>
            <w:r/>
            <w:r>
              <w:rPr>
                <w:b/>
                <w:color w:val="FFFFFF"/>
                <w:sz w:val="17"/>
              </w:rPr>
              <w:t>Страна</w:t>
            </w:r>
          </w:p>
        </w:tc>
        <w:tc>
          <w:tcPr>
            <w:tcW w:type="dxa" w:w="1134"/>
            <w:shd w:val="clear" w:fill="1F4E78"/>
          </w:tcPr>
          <w:p>
            <w:r/>
            <w:r>
              <w:rPr>
                <w:b/>
                <w:color w:val="FFFFFF"/>
                <w:sz w:val="17"/>
              </w:rPr>
              <w:t>Грузоп., кг</w:t>
            </w:r>
          </w:p>
        </w:tc>
        <w:tc>
          <w:tcPr>
            <w:tcW w:type="dxa" w:w="1361"/>
            <w:shd w:val="clear" w:fill="1F4E78"/>
          </w:tcPr>
          <w:p>
            <w:r/>
            <w:r>
              <w:rPr>
                <w:b/>
                <w:color w:val="FFFFFF"/>
                <w:sz w:val="17"/>
              </w:rPr>
              <w:t>Подъём, м</w:t>
            </w:r>
          </w:p>
        </w:tc>
        <w:tc>
          <w:tcPr>
            <w:tcW w:type="dxa" w:w="2438"/>
            <w:shd w:val="clear" w:fill="1F4E78"/>
          </w:tcPr>
          <w:p>
            <w:r/>
            <w:r>
              <w:rPr>
                <w:b/>
                <w:color w:val="FFFFFF"/>
                <w:sz w:val="17"/>
              </w:rPr>
              <w:t>Навигация</w:t>
            </w:r>
          </w:p>
        </w:tc>
        <w:tc>
          <w:tcPr>
            <w:tcW w:type="dxa" w:w="2665"/>
            <w:shd w:val="clear" w:fill="1F4E78"/>
          </w:tcPr>
          <w:p>
            <w:r/>
            <w:r>
              <w:rPr>
                <w:b/>
                <w:color w:val="FFFFFF"/>
                <w:sz w:val="17"/>
              </w:rPr>
              <w:t>Оценка</w:t>
            </w:r>
          </w:p>
        </w:tc>
      </w:tr>
      <w:tr>
        <w:tc>
          <w:tcPr>
            <w:tcW w:type="dxa" w:w="2381"/>
            <w:shd w:val="clear" w:fill="E2EFDA"/>
          </w:tcPr>
          <w:p>
            <w:r/>
            <w:r>
              <w:rPr>
                <w:sz w:val="17"/>
              </w:rPr>
              <w:t>VisionNav VNP15</w:t>
            </w:r>
          </w:p>
        </w:tc>
        <w:tc>
          <w:tcPr>
            <w:tcW w:type="dxa" w:w="1361"/>
            <w:shd w:val="clear" w:fill="E2EFDA"/>
          </w:tcPr>
          <w:p>
            <w:r/>
            <w:r>
              <w:rPr>
                <w:sz w:val="17"/>
              </w:rPr>
              <w:t>Китай</w:t>
            </w:r>
          </w:p>
        </w:tc>
        <w:tc>
          <w:tcPr>
            <w:tcW w:type="dxa" w:w="1134"/>
            <w:shd w:val="clear" w:fill="E2EFDA"/>
          </w:tcPr>
          <w:p>
            <w:r/>
            <w:r>
              <w:rPr>
                <w:sz w:val="17"/>
              </w:rPr>
              <w:t>1 500</w:t>
            </w:r>
          </w:p>
        </w:tc>
        <w:tc>
          <w:tcPr>
            <w:tcW w:type="dxa" w:w="1361"/>
            <w:shd w:val="clear" w:fill="E2EFDA"/>
          </w:tcPr>
          <w:p>
            <w:r/>
            <w:r>
              <w:rPr>
                <w:sz w:val="17"/>
              </w:rPr>
              <w:t>3,0 (опц. до 4,5)</w:t>
            </w:r>
          </w:p>
        </w:tc>
        <w:tc>
          <w:tcPr>
            <w:tcW w:type="dxa" w:w="2438"/>
            <w:shd w:val="clear" w:fill="E2EFDA"/>
          </w:tcPr>
          <w:p>
            <w:r/>
            <w:r>
              <w:rPr>
                <w:sz w:val="17"/>
              </w:rPr>
              <w:t>3D-зрение SLAM, ±20 мм</w:t>
            </w:r>
          </w:p>
        </w:tc>
        <w:tc>
          <w:tcPr>
            <w:tcW w:type="dxa" w:w="2665"/>
            <w:shd w:val="clear" w:fill="E2EFDA"/>
          </w:tcPr>
          <w:p>
            <w:r/>
            <w:r>
              <w:rPr>
                <w:sz w:val="17"/>
              </w:rPr>
              <w:t>★ Точное попадание в спецификацию</w:t>
            </w:r>
          </w:p>
        </w:tc>
      </w:tr>
      <w:tr>
        <w:tc>
          <w:tcPr>
            <w:tcW w:type="dxa" w:w="2381"/>
            <w:shd w:val="clear" w:fill="E2EFDA"/>
          </w:tcPr>
          <w:p>
            <w:r/>
            <w:r>
              <w:rPr>
                <w:sz w:val="17"/>
              </w:rPr>
              <w:t>Multiway MW-SE15</w:t>
            </w:r>
          </w:p>
        </w:tc>
        <w:tc>
          <w:tcPr>
            <w:tcW w:type="dxa" w:w="1361"/>
            <w:shd w:val="clear" w:fill="E2EFDA"/>
          </w:tcPr>
          <w:p>
            <w:r/>
            <w:r>
              <w:rPr>
                <w:sz w:val="17"/>
              </w:rPr>
              <w:t>Китай</w:t>
            </w:r>
          </w:p>
        </w:tc>
        <w:tc>
          <w:tcPr>
            <w:tcW w:type="dxa" w:w="1134"/>
            <w:shd w:val="clear" w:fill="E2EFDA"/>
          </w:tcPr>
          <w:p>
            <w:r/>
            <w:r>
              <w:rPr>
                <w:sz w:val="17"/>
              </w:rPr>
              <w:t>1 500</w:t>
            </w:r>
          </w:p>
        </w:tc>
        <w:tc>
          <w:tcPr>
            <w:tcW w:type="dxa" w:w="1361"/>
            <w:shd w:val="clear" w:fill="E2EFDA"/>
          </w:tcPr>
          <w:p>
            <w:r/>
            <w:r>
              <w:rPr>
                <w:sz w:val="17"/>
              </w:rPr>
              <w:t>3,0</w:t>
            </w:r>
          </w:p>
        </w:tc>
        <w:tc>
          <w:tcPr>
            <w:tcW w:type="dxa" w:w="2438"/>
            <w:shd w:val="clear" w:fill="E2EFDA"/>
          </w:tcPr>
          <w:p>
            <w:r/>
            <w:r>
              <w:rPr>
                <w:sz w:val="17"/>
              </w:rPr>
              <w:t>лазер SLAM, ±5 мм</w:t>
            </w:r>
          </w:p>
        </w:tc>
        <w:tc>
          <w:tcPr>
            <w:tcW w:type="dxa" w:w="2665"/>
            <w:shd w:val="clear" w:fill="E2EFDA"/>
          </w:tcPr>
          <w:p>
            <w:r/>
            <w:r>
              <w:rPr>
                <w:sz w:val="17"/>
              </w:rPr>
              <w:t>★ Точно по спецификации</w:t>
            </w:r>
          </w:p>
        </w:tc>
      </w:tr>
      <w:tr>
        <w:tc>
          <w:tcPr>
            <w:tcW w:type="dxa" w:w="2381"/>
            <w:shd w:val="clear" w:fill="E2EFDA"/>
          </w:tcPr>
          <w:p>
            <w:r/>
            <w:r>
              <w:rPr>
                <w:sz w:val="17"/>
              </w:rPr>
              <w:t>Multiway MW-SE20</w:t>
            </w:r>
          </w:p>
        </w:tc>
        <w:tc>
          <w:tcPr>
            <w:tcW w:type="dxa" w:w="1361"/>
            <w:shd w:val="clear" w:fill="E2EFDA"/>
          </w:tcPr>
          <w:p>
            <w:r/>
            <w:r>
              <w:rPr>
                <w:sz w:val="17"/>
              </w:rPr>
              <w:t>Китай</w:t>
            </w:r>
          </w:p>
        </w:tc>
        <w:tc>
          <w:tcPr>
            <w:tcW w:type="dxa" w:w="1134"/>
            <w:shd w:val="clear" w:fill="E2EFDA"/>
          </w:tcPr>
          <w:p>
            <w:r/>
            <w:r>
              <w:rPr>
                <w:sz w:val="17"/>
              </w:rPr>
              <w:t>2 000</w:t>
            </w:r>
          </w:p>
        </w:tc>
        <w:tc>
          <w:tcPr>
            <w:tcW w:type="dxa" w:w="1361"/>
            <w:shd w:val="clear" w:fill="E2EFDA"/>
          </w:tcPr>
          <w:p>
            <w:r/>
            <w:r>
              <w:rPr>
                <w:sz w:val="17"/>
              </w:rPr>
              <w:t>4,5</w:t>
            </w:r>
          </w:p>
        </w:tc>
        <w:tc>
          <w:tcPr>
            <w:tcW w:type="dxa" w:w="2438"/>
            <w:shd w:val="clear" w:fill="E2EFDA"/>
          </w:tcPr>
          <w:p>
            <w:r/>
            <w:r>
              <w:rPr>
                <w:sz w:val="17"/>
              </w:rPr>
              <w:t>лазер SLAM, радиус разворота 1,8 м</w:t>
            </w:r>
          </w:p>
        </w:tc>
        <w:tc>
          <w:tcPr>
            <w:tcW w:type="dxa" w:w="2665"/>
            <w:shd w:val="clear" w:fill="E2EFDA"/>
          </w:tcPr>
          <w:p>
            <w:r/>
            <w:r>
              <w:rPr>
                <w:sz w:val="17"/>
              </w:rPr>
              <w:t>★ Запас по весу, компактный</w:t>
            </w:r>
          </w:p>
        </w:tc>
      </w:tr>
      <w:tr>
        <w:tc>
          <w:tcPr>
            <w:tcW w:type="dxa" w:w="2381"/>
            <w:shd w:val="clear" w:fill="E2EFDA"/>
          </w:tcPr>
          <w:p>
            <w:r/>
            <w:r>
              <w:rPr>
                <w:sz w:val="17"/>
              </w:rPr>
              <w:t>Hikrobot MR-F4-1500</w:t>
            </w:r>
          </w:p>
        </w:tc>
        <w:tc>
          <w:tcPr>
            <w:tcW w:type="dxa" w:w="1361"/>
            <w:shd w:val="clear" w:fill="E2EFDA"/>
          </w:tcPr>
          <w:p>
            <w:r/>
            <w:r>
              <w:rPr>
                <w:sz w:val="17"/>
              </w:rPr>
              <w:t>Китай</w:t>
            </w:r>
          </w:p>
        </w:tc>
        <w:tc>
          <w:tcPr>
            <w:tcW w:type="dxa" w:w="1134"/>
            <w:shd w:val="clear" w:fill="E2EFDA"/>
          </w:tcPr>
          <w:p>
            <w:r/>
            <w:r>
              <w:rPr>
                <w:sz w:val="17"/>
              </w:rPr>
              <w:t>1 500</w:t>
            </w:r>
          </w:p>
        </w:tc>
        <w:tc>
          <w:tcPr>
            <w:tcW w:type="dxa" w:w="1361"/>
            <w:shd w:val="clear" w:fill="E2EFDA"/>
          </w:tcPr>
          <w:p>
            <w:r/>
            <w:r>
              <w:rPr>
                <w:sz w:val="17"/>
              </w:rPr>
              <w:t>~4,5</w:t>
            </w:r>
          </w:p>
        </w:tc>
        <w:tc>
          <w:tcPr>
            <w:tcW w:type="dxa" w:w="2438"/>
            <w:shd w:val="clear" w:fill="E2EFDA"/>
          </w:tcPr>
          <w:p>
            <w:r/>
            <w:r>
              <w:rPr>
                <w:sz w:val="17"/>
              </w:rPr>
              <w:t>лазер SLAM, 1,2 м/с</w:t>
            </w:r>
          </w:p>
        </w:tc>
        <w:tc>
          <w:tcPr>
            <w:tcW w:type="dxa" w:w="2665"/>
            <w:shd w:val="clear" w:fill="E2EFDA"/>
          </w:tcPr>
          <w:p>
            <w:r/>
            <w:r>
              <w:rPr>
                <w:sz w:val="17"/>
              </w:rPr>
              <w:t>★ Крупный бренд (Hikvision)</w:t>
            </w:r>
          </w:p>
        </w:tc>
      </w:tr>
      <w:tr>
        <w:tc>
          <w:tcPr>
            <w:tcW w:type="dxa" w:w="2381"/>
            <w:shd w:val="clear" w:fill="E2EFDA"/>
          </w:tcPr>
          <w:p>
            <w:r/>
            <w:r>
              <w:rPr>
                <w:sz w:val="17"/>
              </w:rPr>
              <w:t>Hyster/Yale LOWY CB (Balyo)</w:t>
            </w:r>
          </w:p>
        </w:tc>
        <w:tc>
          <w:tcPr>
            <w:tcW w:type="dxa" w:w="1361"/>
            <w:shd w:val="clear" w:fill="E2EFDA"/>
          </w:tcPr>
          <w:p>
            <w:r/>
            <w:r>
              <w:rPr>
                <w:sz w:val="17"/>
              </w:rPr>
              <w:t>США/Франция</w:t>
            </w:r>
          </w:p>
        </w:tc>
        <w:tc>
          <w:tcPr>
            <w:tcW w:type="dxa" w:w="1134"/>
            <w:shd w:val="clear" w:fill="E2EFDA"/>
          </w:tcPr>
          <w:p>
            <w:r/>
            <w:r>
              <w:rPr>
                <w:sz w:val="17"/>
              </w:rPr>
              <w:t>1 600</w:t>
            </w:r>
          </w:p>
        </w:tc>
        <w:tc>
          <w:tcPr>
            <w:tcW w:type="dxa" w:w="1361"/>
            <w:shd w:val="clear" w:fill="E2EFDA"/>
          </w:tcPr>
          <w:p>
            <w:r/>
            <w:r>
              <w:rPr>
                <w:sz w:val="17"/>
              </w:rPr>
              <w:t>4,0</w:t>
            </w:r>
          </w:p>
        </w:tc>
        <w:tc>
          <w:tcPr>
            <w:tcW w:type="dxa" w:w="2438"/>
            <w:shd w:val="clear" w:fill="E2EFDA"/>
          </w:tcPr>
          <w:p>
            <w:r/>
            <w:r>
              <w:rPr>
                <w:sz w:val="17"/>
              </w:rPr>
              <w:t>геогайдинг SLAM/LiDAR без рефлекторов</w:t>
            </w:r>
          </w:p>
        </w:tc>
        <w:tc>
          <w:tcPr>
            <w:tcW w:type="dxa" w:w="2665"/>
            <w:shd w:val="clear" w:fill="E2EFDA"/>
          </w:tcPr>
          <w:p>
            <w:r/>
            <w:r>
              <w:rPr>
                <w:sz w:val="17"/>
              </w:rPr>
              <w:t>★ Проверенный бренд + сервис</w:t>
            </w:r>
          </w:p>
        </w:tc>
      </w:tr>
      <w:tr>
        <w:tc>
          <w:tcPr>
            <w:tcW w:type="dxa" w:w="2381"/>
            <w:shd w:val="clear" w:fill="E2EFDA"/>
          </w:tcPr>
          <w:p>
            <w:r/>
            <w:r>
              <w:rPr>
                <w:sz w:val="17"/>
              </w:rPr>
              <w:t>JBT CB 1500</w:t>
            </w:r>
          </w:p>
        </w:tc>
        <w:tc>
          <w:tcPr>
            <w:tcW w:type="dxa" w:w="1361"/>
            <w:shd w:val="clear" w:fill="E2EFDA"/>
          </w:tcPr>
          <w:p>
            <w:r/>
            <w:r>
              <w:rPr>
                <w:sz w:val="17"/>
              </w:rPr>
              <w:t>США</w:t>
            </w:r>
          </w:p>
        </w:tc>
        <w:tc>
          <w:tcPr>
            <w:tcW w:type="dxa" w:w="1134"/>
            <w:shd w:val="clear" w:fill="E2EFDA"/>
          </w:tcPr>
          <w:p>
            <w:r/>
            <w:r>
              <w:rPr>
                <w:sz w:val="17"/>
              </w:rPr>
              <w:t>1 500</w:t>
            </w:r>
          </w:p>
        </w:tc>
        <w:tc>
          <w:tcPr>
            <w:tcW w:type="dxa" w:w="1361"/>
            <w:shd w:val="clear" w:fill="E2EFDA"/>
          </w:tcPr>
          <w:p>
            <w:r/>
            <w:r>
              <w:rPr>
                <w:sz w:val="17"/>
              </w:rPr>
              <w:t>6,0</w:t>
            </w:r>
          </w:p>
        </w:tc>
        <w:tc>
          <w:tcPr>
            <w:tcW w:type="dxa" w:w="2438"/>
            <w:shd w:val="clear" w:fill="E2EFDA"/>
          </w:tcPr>
          <w:p>
            <w:r/>
            <w:r>
              <w:rPr>
                <w:sz w:val="17"/>
              </w:rPr>
              <w:t>лазер</w:t>
            </w:r>
          </w:p>
        </w:tc>
        <w:tc>
          <w:tcPr>
            <w:tcW w:type="dxa" w:w="2665"/>
            <w:shd w:val="clear" w:fill="E2EFDA"/>
          </w:tcPr>
          <w:p>
            <w:r/>
            <w:r>
              <w:rPr>
                <w:sz w:val="17"/>
              </w:rPr>
              <w:t>★ Профильная ветка Building Materials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Rocla Counterbalance AWT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Финляндия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2 500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8,4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лазер-триангуляция</w:t>
            </w:r>
          </w:p>
        </w:tc>
        <w:tc>
          <w:tcPr>
            <w:tcW w:type="dxa" w:w="2665"/>
          </w:tcPr>
          <w:p>
            <w:r/>
            <w:r>
              <w:rPr>
                <w:sz w:val="17"/>
              </w:rPr>
              <w:t>Запас по весу; подъём избыточен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DS Automotion ARNY / HD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Австрия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1 500 / 2 500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до 8,5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контур + лазер; мин. проход 3,3 м</w:t>
            </w:r>
          </w:p>
        </w:tc>
        <w:tc>
          <w:tcPr>
            <w:tcW w:type="dxa" w:w="2665"/>
          </w:tcPr>
          <w:p>
            <w:r/>
            <w:r>
              <w:rPr>
                <w:sz w:val="17"/>
              </w:rPr>
              <w:t>Европейская альтернатива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Geek+ F-Series Counterbalance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Китай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3 500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не подтв.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LiDAR SLAM, ±10 мм</w:t>
            </w:r>
          </w:p>
        </w:tc>
        <w:tc>
          <w:tcPr>
            <w:tcW w:type="dxa" w:w="2665"/>
          </w:tcPr>
          <w:p>
            <w:r/>
            <w:r>
              <w:rPr>
                <w:sz w:val="17"/>
              </w:rPr>
              <w:t>Бюджет; высота подъёма не подтверждена</w:t>
            </w:r>
          </w:p>
        </w:tc>
      </w:tr>
      <w:tr>
        <w:tc>
          <w:tcPr>
            <w:tcW w:type="dxa" w:w="2381"/>
            <w:shd w:val="clear" w:fill="FCE4D6"/>
          </w:tcPr>
          <w:p>
            <w:r/>
            <w:r>
              <w:rPr>
                <w:sz w:val="17"/>
              </w:rPr>
              <w:t>Toyota Optio OAE120CB</w:t>
            </w:r>
          </w:p>
        </w:tc>
        <w:tc>
          <w:tcPr>
            <w:tcW w:type="dxa" w:w="1361"/>
            <w:shd w:val="clear" w:fill="FCE4D6"/>
          </w:tcPr>
          <w:p>
            <w:r/>
            <w:r>
              <w:rPr>
                <w:sz w:val="17"/>
              </w:rPr>
              <w:t>Япония/Швеция</w:t>
            </w:r>
          </w:p>
        </w:tc>
        <w:tc>
          <w:tcPr>
            <w:tcW w:type="dxa" w:w="1134"/>
            <w:shd w:val="clear" w:fill="FCE4D6"/>
          </w:tcPr>
          <w:p>
            <w:r/>
            <w:r>
              <w:rPr>
                <w:sz w:val="17"/>
              </w:rPr>
              <w:t>1 200</w:t>
            </w:r>
          </w:p>
        </w:tc>
        <w:tc>
          <w:tcPr>
            <w:tcW w:type="dxa" w:w="1361"/>
            <w:shd w:val="clear" w:fill="FCE4D6"/>
          </w:tcPr>
          <w:p>
            <w:r/>
            <w:r>
              <w:rPr>
                <w:sz w:val="17"/>
              </w:rPr>
              <w:t>4,15</w:t>
            </w:r>
          </w:p>
        </w:tc>
        <w:tc>
          <w:tcPr>
            <w:tcW w:type="dxa" w:w="2438"/>
            <w:shd w:val="clear" w:fill="FCE4D6"/>
          </w:tcPr>
          <w:p>
            <w:r/>
            <w:r>
              <w:rPr>
                <w:sz w:val="17"/>
              </w:rPr>
              <w:t>Autopilot (рефлекторы/natural)</w:t>
            </w:r>
          </w:p>
        </w:tc>
        <w:tc>
          <w:tcPr>
            <w:tcW w:type="dxa" w:w="2665"/>
            <w:shd w:val="clear" w:fill="FCE4D6"/>
          </w:tcPr>
          <w:p>
            <w:r/>
            <w:r>
              <w:rPr>
                <w:sz w:val="17"/>
              </w:rPr>
              <w:t>⚠ Только под лёгкую паллету 1,2 т</w:t>
            </w:r>
          </w:p>
        </w:tc>
      </w:tr>
      <w:tr>
        <w:tc>
          <w:tcPr>
            <w:tcW w:type="dxa" w:w="2381"/>
            <w:shd w:val="clear" w:fill="FCE4D6"/>
          </w:tcPr>
          <w:p>
            <w:r/>
            <w:r>
              <w:rPr>
                <w:sz w:val="17"/>
              </w:rPr>
              <w:t>STILL EXV-CB iGo</w:t>
            </w:r>
          </w:p>
        </w:tc>
        <w:tc>
          <w:tcPr>
            <w:tcW w:type="dxa" w:w="1361"/>
            <w:shd w:val="clear" w:fill="FCE4D6"/>
          </w:tcPr>
          <w:p>
            <w:r/>
            <w:r>
              <w:rPr>
                <w:sz w:val="17"/>
              </w:rPr>
              <w:t>Германия</w:t>
            </w:r>
          </w:p>
        </w:tc>
        <w:tc>
          <w:tcPr>
            <w:tcW w:type="dxa" w:w="1134"/>
            <w:shd w:val="clear" w:fill="FCE4D6"/>
          </w:tcPr>
          <w:p>
            <w:r/>
            <w:r>
              <w:rPr>
                <w:sz w:val="17"/>
              </w:rPr>
              <w:t>1 400</w:t>
            </w:r>
          </w:p>
        </w:tc>
        <w:tc>
          <w:tcPr>
            <w:tcW w:type="dxa" w:w="1361"/>
            <w:shd w:val="clear" w:fill="FCE4D6"/>
          </w:tcPr>
          <w:p>
            <w:r/>
            <w:r>
              <w:rPr>
                <w:sz w:val="17"/>
              </w:rPr>
              <w:t>3,8</w:t>
            </w:r>
          </w:p>
        </w:tc>
        <w:tc>
          <w:tcPr>
            <w:tcW w:type="dxa" w:w="2438"/>
            <w:shd w:val="clear" w:fill="FCE4D6"/>
          </w:tcPr>
          <w:p>
            <w:r/>
            <w:r>
              <w:rPr>
                <w:sz w:val="17"/>
              </w:rPr>
              <w:t>natural/SLAM</w:t>
            </w:r>
          </w:p>
        </w:tc>
        <w:tc>
          <w:tcPr>
            <w:tcW w:type="dxa" w:w="2665"/>
            <w:shd w:val="clear" w:fill="FCE4D6"/>
          </w:tcPr>
          <w:p>
            <w:r/>
            <w:r>
              <w:rPr>
                <w:sz w:val="17"/>
              </w:rPr>
              <w:t>⚠ На грани: 1 400 &lt; 1 500 кг</w:t>
            </w:r>
          </w:p>
        </w:tc>
      </w:tr>
      <w:tr>
        <w:tc>
          <w:tcPr>
            <w:tcW w:type="dxa" w:w="2381"/>
            <w:shd w:val="clear" w:fill="FCE4D6"/>
          </w:tcPr>
          <w:p>
            <w:r/>
            <w:r>
              <w:rPr>
                <w:sz w:val="17"/>
              </w:rPr>
              <w:t>Linde L-MATIC AC k</w:t>
            </w:r>
          </w:p>
        </w:tc>
        <w:tc>
          <w:tcPr>
            <w:tcW w:type="dxa" w:w="1361"/>
            <w:shd w:val="clear" w:fill="FCE4D6"/>
          </w:tcPr>
          <w:p>
            <w:r/>
            <w:r>
              <w:rPr>
                <w:sz w:val="17"/>
              </w:rPr>
              <w:t>Германия</w:t>
            </w:r>
          </w:p>
        </w:tc>
        <w:tc>
          <w:tcPr>
            <w:tcW w:type="dxa" w:w="1134"/>
            <w:shd w:val="clear" w:fill="FCE4D6"/>
          </w:tcPr>
          <w:p>
            <w:r/>
            <w:r>
              <w:rPr>
                <w:sz w:val="17"/>
              </w:rPr>
              <w:t>1 400</w:t>
            </w:r>
          </w:p>
        </w:tc>
        <w:tc>
          <w:tcPr>
            <w:tcW w:type="dxa" w:w="1361"/>
            <w:shd w:val="clear" w:fill="FCE4D6"/>
          </w:tcPr>
          <w:p>
            <w:r/>
            <w:r>
              <w:rPr>
                <w:sz w:val="17"/>
              </w:rPr>
              <w:t>3,8</w:t>
            </w:r>
          </w:p>
        </w:tc>
        <w:tc>
          <w:tcPr>
            <w:tcW w:type="dxa" w:w="2438"/>
            <w:shd w:val="clear" w:fill="FCE4D6"/>
          </w:tcPr>
          <w:p>
            <w:r/>
            <w:r>
              <w:rPr>
                <w:sz w:val="17"/>
              </w:rPr>
              <w:t>natural/SLAM</w:t>
            </w:r>
          </w:p>
        </w:tc>
        <w:tc>
          <w:tcPr>
            <w:tcW w:type="dxa" w:w="2665"/>
            <w:shd w:val="clear" w:fill="FCE4D6"/>
          </w:tcPr>
          <w:p>
            <w:r/>
            <w:r>
              <w:rPr>
                <w:sz w:val="17"/>
              </w:rPr>
              <w:t>⚠ На грани: 1 400 &lt; 1 500 кг</w:t>
            </w:r>
          </w:p>
        </w:tc>
      </w:tr>
      <w:tr>
        <w:tc>
          <w:tcPr>
            <w:tcW w:type="dxa" w:w="2381"/>
            <w:shd w:val="clear" w:fill="FCE4D6"/>
          </w:tcPr>
          <w:p>
            <w:r/>
            <w:r>
              <w:rPr>
                <w:sz w:val="17"/>
              </w:rPr>
              <w:t>AGILOX OCF (омни)</w:t>
            </w:r>
          </w:p>
        </w:tc>
        <w:tc>
          <w:tcPr>
            <w:tcW w:type="dxa" w:w="1361"/>
            <w:shd w:val="clear" w:fill="FCE4D6"/>
          </w:tcPr>
          <w:p>
            <w:r/>
            <w:r>
              <w:rPr>
                <w:sz w:val="17"/>
              </w:rPr>
              <w:t>Австрия</w:t>
            </w:r>
          </w:p>
        </w:tc>
        <w:tc>
          <w:tcPr>
            <w:tcW w:type="dxa" w:w="1134"/>
            <w:shd w:val="clear" w:fill="FCE4D6"/>
          </w:tcPr>
          <w:p>
            <w:r/>
            <w:r>
              <w:rPr>
                <w:sz w:val="17"/>
              </w:rPr>
              <w:t>1 500</w:t>
            </w:r>
          </w:p>
        </w:tc>
        <w:tc>
          <w:tcPr>
            <w:tcW w:type="dxa" w:w="1361"/>
            <w:shd w:val="clear" w:fill="FCE4D6"/>
          </w:tcPr>
          <w:p>
            <w:r/>
            <w:r>
              <w:rPr>
                <w:sz w:val="17"/>
              </w:rPr>
              <w:t>только 1,6</w:t>
            </w:r>
          </w:p>
        </w:tc>
        <w:tc>
          <w:tcPr>
            <w:tcW w:type="dxa" w:w="2438"/>
            <w:shd w:val="clear" w:fill="FCE4D6"/>
          </w:tcPr>
          <w:p>
            <w:r/>
            <w:r>
              <w:rPr>
                <w:sz w:val="17"/>
              </w:rPr>
              <w:t>контур SLAM, рой X-SWARM, ±3 мм</w:t>
            </w:r>
          </w:p>
        </w:tc>
        <w:tc>
          <w:tcPr>
            <w:tcW w:type="dxa" w:w="2665"/>
            <w:shd w:val="clear" w:fill="FCE4D6"/>
          </w:tcPr>
          <w:p>
            <w:r/>
            <w:r>
              <w:rPr>
                <w:sz w:val="17"/>
              </w:rPr>
              <w:t>✗ Подъёма хватает лишь на 2 яруса</w:t>
            </w:r>
          </w:p>
        </w:tc>
      </w:tr>
      <w:tr>
        <w:tc>
          <w:tcPr>
            <w:tcW w:type="dxa" w:w="2381"/>
            <w:shd w:val="clear" w:fill="FCE4D6"/>
          </w:tcPr>
          <w:p>
            <w:r/>
            <w:r>
              <w:rPr>
                <w:sz w:val="17"/>
              </w:rPr>
              <w:t>Hikrobot MR-F1-1000U (омни)</w:t>
            </w:r>
          </w:p>
        </w:tc>
        <w:tc>
          <w:tcPr>
            <w:tcW w:type="dxa" w:w="1361"/>
            <w:shd w:val="clear" w:fill="FCE4D6"/>
          </w:tcPr>
          <w:p>
            <w:r/>
            <w:r>
              <w:rPr>
                <w:sz w:val="17"/>
              </w:rPr>
              <w:t>Китай</w:t>
            </w:r>
          </w:p>
        </w:tc>
        <w:tc>
          <w:tcPr>
            <w:tcW w:type="dxa" w:w="1134"/>
            <w:shd w:val="clear" w:fill="FCE4D6"/>
          </w:tcPr>
          <w:p>
            <w:r/>
            <w:r>
              <w:rPr>
                <w:sz w:val="17"/>
              </w:rPr>
              <w:t>~1 000</w:t>
            </w:r>
          </w:p>
        </w:tc>
        <w:tc>
          <w:tcPr>
            <w:tcW w:type="dxa" w:w="1361"/>
            <w:shd w:val="clear" w:fill="FCE4D6"/>
          </w:tcPr>
          <w:p>
            <w:r/>
            <w:r>
              <w:rPr>
                <w:sz w:val="17"/>
              </w:rPr>
              <w:t>&gt; 2</w:t>
            </w:r>
          </w:p>
        </w:tc>
        <w:tc>
          <w:tcPr>
            <w:tcW w:type="dxa" w:w="2438"/>
            <w:shd w:val="clear" w:fill="FCE4D6"/>
          </w:tcPr>
          <w:p>
            <w:r/>
            <w:r>
              <w:rPr>
                <w:sz w:val="17"/>
              </w:rPr>
              <w:t>лазер SLAM, нулевой радиус</w:t>
            </w:r>
          </w:p>
        </w:tc>
        <w:tc>
          <w:tcPr>
            <w:tcW w:type="dxa" w:w="2665"/>
            <w:shd w:val="clear" w:fill="FCE4D6"/>
          </w:tcPr>
          <w:p>
            <w:r/>
            <w:r>
              <w:rPr>
                <w:sz w:val="17"/>
              </w:rPr>
              <w:t>✗ Мало по весу и высоте</w:t>
            </w:r>
          </w:p>
        </w:tc>
      </w:tr>
    </w:tbl>
    <w:p/>
    <w:p>
      <w:pPr>
        <w:pStyle w:val="Heading2"/>
      </w:pPr>
      <w:r>
        <w:rPr>
          <w:b/>
          <w:color w:val="1F4E78"/>
          <w:sz w:val="25"/>
        </w:rPr>
        <w:t>3.1. Омни-направленные counterbalance — вывод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val="clear" w:fill="FCE4D6"/>
          </w:tcPr>
          <w:p>
            <w:r/>
            <w:r>
              <w:rPr>
                <w:sz w:val="19"/>
              </w:rPr>
              <w:t>Омни-направленного counterbalance с подъёмом ~3 м при грузоподъёмности ≥1,5 т на рынке НЕТ (подтверждено отдельным исследованием): AGILOX OCF поднимает только 1,6 м (2 яруса), Hikrobot MR-F1-1000U — ~1 т и &gt;2 м. Для 3–4-ярусного штабелирования следует использовать обычный counterbalance и расширить проход до ~3,3–3,7 м — это дешевле и проверено практикой.</w:t>
            </w:r>
          </w:p>
        </w:tc>
      </w:tr>
    </w:tbl>
    <w:p/>
    <w:p>
      <w:pPr>
        <w:pStyle w:val="Heading2"/>
      </w:pPr>
      <w:r>
        <w:rPr>
          <w:b/>
          <w:color w:val="1F4E78"/>
          <w:sz w:val="25"/>
        </w:rPr>
        <w:t>3.2. Важная оговорка по данным</w:t>
      </w:r>
    </w:p>
    <w:p>
      <w:r>
        <w:rPr>
          <w:b w:val="0"/>
          <w:i/>
          <w:sz w:val="19"/>
        </w:rPr>
        <w:t>Точная ширина рабочего прохода под 90°-штабелирование (Ast) у большинства моделей не опубликована в открытых источниках (закрыта в PDF-даташитах). Параметр обязателен к запросу у вендоров вместе с КП. Все характеристики в таблице подлежат сверке с официальными даташитами перед закупкой.</w:t>
      </w:r>
    </w:p>
    <w:p>
      <w:pPr>
        <w:pStyle w:val="Heading1"/>
      </w:pPr>
      <w:r>
        <w:rPr>
          <w:b/>
          <w:color w:val="1F4E78"/>
          <w:sz w:val="30"/>
        </w:rPr>
        <w:t>4. Расчёт необходимого числа AGV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18"/>
            <w:shd w:val="clear" w:fill="1F4E78"/>
          </w:tcPr>
          <w:p>
            <w:r/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2041"/>
            <w:shd w:val="clear" w:fill="1F4E78"/>
          </w:tcPr>
          <w:p>
            <w:r/>
            <w:r>
              <w:rPr>
                <w:b/>
                <w:color w:val="FFFFFF"/>
                <w:sz w:val="17"/>
              </w:rPr>
              <w:t>Значение</w:t>
            </w:r>
          </w:p>
        </w:tc>
        <w:tc>
          <w:tcPr>
            <w:tcW w:type="dxa" w:w="4195"/>
            <w:shd w:val="clear" w:fill="1F4E78"/>
          </w:tcPr>
          <w:p>
            <w:r/>
            <w:r>
              <w:rPr>
                <w:b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Паллет на приёмку, шт/мес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≈ 8 900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12 000 т ÷ ~1,35 т (средний вес)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Операций всего, шт/мес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≈ 17 000–18 000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Приёмка + отгрузка (каждая паллета ≥2 операций)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Рабочих часов/мес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≈ 624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24 ч × 26 дней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Требуемая производительность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≈ 27–29 оп/ч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18 000 ÷ 624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Производительность 1 AGV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≈ 15–18 оп/ч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Штабелирование медленнее транспортировки; учтены зарядка и трафик</w:t>
            </w:r>
          </w:p>
        </w:tc>
      </w:tr>
      <w:tr>
        <w:tc>
          <w:tcPr>
            <w:tcW w:type="dxa" w:w="3118"/>
            <w:shd w:val="clear" w:fill="E2EFDA"/>
          </w:tcPr>
          <w:p>
            <w:r/>
            <w:r>
              <w:rPr>
                <w:sz w:val="17"/>
              </w:rPr>
              <w:t>РАСЧЁТНЫЙ ПАРК</w:t>
            </w:r>
          </w:p>
        </w:tc>
        <w:tc>
          <w:tcPr>
            <w:tcW w:type="dxa" w:w="2041"/>
            <w:shd w:val="clear" w:fill="E2EFDA"/>
          </w:tcPr>
          <w:p>
            <w:r/>
            <w:r>
              <w:rPr>
                <w:sz w:val="17"/>
              </w:rPr>
              <w:t>3–4 машины</w:t>
            </w:r>
          </w:p>
        </w:tc>
        <w:tc>
          <w:tcPr>
            <w:tcW w:type="dxa" w:w="4195"/>
            <w:shd w:val="clear" w:fill="E2EFDA"/>
          </w:tcPr>
          <w:p>
            <w:r/>
            <w:r>
              <w:rPr>
                <w:sz w:val="17"/>
              </w:rPr>
              <w:t>С резервом на пики; диапазон 2–5</w:t>
            </w:r>
          </w:p>
        </w:tc>
      </w:tr>
    </w:tbl>
    <w:p/>
    <w:p>
      <w:r>
        <w:rPr>
          <w:b w:val="0"/>
          <w:i/>
          <w:sz w:val="19"/>
        </w:rPr>
        <w:t>Точное число зависит от средней дистанции перевозки, доли «двойных циклов» (приём+отгрузка за один проход) и неравномерности потока (фуры приходят пачками). Перед закупкой обязательна имитационная модель (simulation) от интегратора — стандартная часть проектирования.</w:t>
      </w:r>
    </w:p>
    <w:p>
      <w:pPr>
        <w:pStyle w:val="Heading1"/>
      </w:pPr>
      <w:r>
        <w:rPr>
          <w:b/>
          <w:color w:val="1F4E78"/>
          <w:sz w:val="30"/>
        </w:rPr>
        <w:t>5. Ориентировочный бюджет (USD, без НДС, таможни и логистики)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515"/>
            <w:shd w:val="clear" w:fill="1F4E78"/>
          </w:tcPr>
          <w:p>
            <w:r/>
            <w:r>
              <w:rPr>
                <w:b/>
                <w:color w:val="FFFFFF"/>
                <w:sz w:val="17"/>
              </w:rPr>
              <w:t>Статья</w:t>
            </w:r>
          </w:p>
        </w:tc>
        <w:tc>
          <w:tcPr>
            <w:tcW w:type="dxa" w:w="2948"/>
            <w:shd w:val="clear" w:fill="1F4E78"/>
          </w:tcPr>
          <w:p>
            <w:r/>
            <w:r>
              <w:rPr>
                <w:b/>
                <w:color w:val="FFFFFF"/>
                <w:sz w:val="17"/>
              </w:rPr>
              <w:t>Сценарий A: китайские, 4 ед.</w:t>
            </w:r>
          </w:p>
        </w:tc>
        <w:tc>
          <w:tcPr>
            <w:tcW w:type="dxa" w:w="2948"/>
            <w:shd w:val="clear" w:fill="1F4E78"/>
          </w:tcPr>
          <w:p>
            <w:r/>
            <w:r>
              <w:rPr>
                <w:b/>
                <w:color w:val="FFFFFF"/>
                <w:sz w:val="17"/>
              </w:rPr>
              <w:t>Сценарий B: западные, 3 ед.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AGV (техника)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$180 000 – $360 000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$360 000 – $600 000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Интеграция, пусконаладка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$20 000 – $60 000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$45 000 – $90 000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ПО управления флотом (старт + год)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$10 000 – $25 000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$15 000 – $35 000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Имитационное моделирование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$15 000 – $30 000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$20 000 – $35 000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Зарядная инфраструктура (Li-ion)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$20 000 – $50 000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$25 000 – $55 000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Защита от пыли (IP, обдув, чистка)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$10 000 – $30 000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$10 000 – $30 000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ЗИП, обучение, ввод в эксплуатацию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$20 000 – $45 000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$30 000 – $60 000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7"/>
              </w:rPr>
              <w:t>Пилот на реальной паллете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$10 000 – $30 000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$15 000 – $35 000</w:t>
            </w:r>
          </w:p>
        </w:tc>
      </w:tr>
      <w:tr>
        <w:tc>
          <w:tcPr>
            <w:tcW w:type="dxa" w:w="3515"/>
            <w:shd w:val="clear" w:fill="E2EFDA"/>
          </w:tcPr>
          <w:p>
            <w:r/>
            <w:r>
              <w:rPr>
                <w:sz w:val="17"/>
              </w:rPr>
              <w:t>ИТОГО CAPEX (ориентир)</w:t>
            </w:r>
          </w:p>
        </w:tc>
        <w:tc>
          <w:tcPr>
            <w:tcW w:type="dxa" w:w="2948"/>
            <w:shd w:val="clear" w:fill="E2EFDA"/>
          </w:tcPr>
          <w:p>
            <w:r/>
            <w:r>
              <w:rPr>
                <w:sz w:val="17"/>
              </w:rPr>
              <w:t>≈ $285 000 – $660 000</w:t>
            </w:r>
          </w:p>
        </w:tc>
        <w:tc>
          <w:tcPr>
            <w:tcW w:type="dxa" w:w="2948"/>
            <w:shd w:val="clear" w:fill="E2EFDA"/>
          </w:tcPr>
          <w:p>
            <w:r/>
            <w:r>
              <w:rPr>
                <w:sz w:val="17"/>
              </w:rPr>
              <w:t>≈ $520 000 – $940 000</w:t>
            </w:r>
          </w:p>
        </w:tc>
      </w:tr>
    </w:tbl>
    <w:p/>
    <w:p>
      <w:pPr>
        <w:pStyle w:val="ListBullet"/>
      </w:pPr>
      <w:r>
        <w:t>OPEX/год: обслуживание ≈10% стоимости машин + подписка на ПО + учащённая чистка датчиков (пыль) + электроэнергия.</w:t>
      </w:r>
    </w:p>
    <w:p>
      <w:pPr>
        <w:pStyle w:val="ListBullet"/>
      </w:pPr>
      <w:r>
        <w:t>Окупаемость при двухсменном режиме — обычно ~2–3 года (главный рычаг ROI — число смен, а не цена техники).</w:t>
      </w:r>
    </w:p>
    <w:p>
      <w:pPr>
        <w:pStyle w:val="ListBullet"/>
      </w:pPr>
      <w:r>
        <w:t>Цены индикативные, из открытых источников; финальные — только по КП вендоров.</w:t>
      </w:r>
    </w:p>
    <w:p>
      <w:pPr>
        <w:pStyle w:val="Heading1"/>
      </w:pPr>
      <w:r>
        <w:rPr>
          <w:b/>
          <w:color w:val="1F4E78"/>
          <w:sz w:val="30"/>
        </w:rPr>
        <w:t>6. Критические риски и ограничения (специфика мешковых смесей)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041"/>
            <w:shd w:val="clear" w:fill="1F4E78"/>
          </w:tcPr>
          <w:p>
            <w:r/>
            <w:r>
              <w:rPr>
                <w:b/>
                <w:color w:val="FFFFFF"/>
                <w:sz w:val="17"/>
              </w:rPr>
              <w:t>Тема</w:t>
            </w:r>
          </w:p>
        </w:tc>
        <w:tc>
          <w:tcPr>
            <w:tcW w:type="dxa" w:w="3742"/>
            <w:shd w:val="clear" w:fill="1F4E78"/>
          </w:tcPr>
          <w:p>
            <w:r/>
            <w:r>
              <w:rPr>
                <w:b/>
                <w:color w:val="FFFFFF"/>
                <w:sz w:val="17"/>
              </w:rPr>
              <w:t>Риск / требование</w:t>
            </w:r>
          </w:p>
        </w:tc>
        <w:tc>
          <w:tcPr>
            <w:tcW w:type="dxa" w:w="3628"/>
            <w:shd w:val="clear" w:fill="1F4E78"/>
          </w:tcPr>
          <w:p>
            <w:r/>
            <w:r>
              <w:rPr>
                <w:b/>
                <w:color w:val="FFFFFF"/>
                <w:sz w:val="17"/>
              </w:rPr>
              <w:t>Мера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Устойчивость 4-ярусного штабеля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Отраслевая норма для мешков — 2–3 яруса; низ 4-ярусной колонны несёт 2,6–5,4 т: риск раздавливания мешков и слёживания смеси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Стрейч-обмотка + обвязка; ровный набор паллеты (верх &lt;3°); межслойные прокладки; тяжёлое — ниже (ваша схема 1,5 т/3 яр. корректна)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Пыль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Цементная пыль &lt;10 мкм гигроскопична, твердеет в датчиках; ложные аварийные стопы; потеря 10–30% дальности лидара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Компоненты IP65/IP67; высокая установка датчиков; обдув/подогрев; чистка лидаров каждые 500–1000 ч; калибровка камер ежемесячно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Пол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Неровный пол усиливает «завал» колонны при подъёме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Класс FM2 (TR34): ±15 мм от базы, ~5 мм под 3-метровой рейкой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Отсутствие отраслевых кейсов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Публичных внедрений AGV-штабелирования мешковых смесей не найдено (зрелые кейсы — напитки/еда/тиссью, у E80 «4 яруса» — именно напитки)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Обязательный пилот на реальной паллете до закупки парка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Ширина прохода Ast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Не публикуется вендорами в открытом доступе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Обязательный параметр запроса КП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Стандарты</w:t>
            </w:r>
          </w:p>
        </w:tc>
        <w:tc>
          <w:tcPr>
            <w:tcW w:type="dxa" w:w="3742"/>
          </w:tcPr>
          <w:p>
            <w:r/>
            <w:r>
              <w:rPr>
                <w:sz w:val="17"/>
              </w:rPr>
              <w:t>Безопасность и совместимость</w:t>
            </w:r>
          </w:p>
        </w:tc>
        <w:tc>
          <w:tcPr>
            <w:tcW w:type="dxa" w:w="3628"/>
          </w:tcPr>
          <w:p>
            <w:r/>
            <w:r>
              <w:rPr>
                <w:sz w:val="17"/>
              </w:rPr>
              <w:t>ISO 3691-4:2023 + ANSI B56.5; готовность к EU 2023/1230 (2027); VDA 5050 для смешанного парка</w:t>
            </w:r>
          </w:p>
        </w:tc>
      </w:tr>
    </w:tbl>
    <w:p/>
    <w:p>
      <w:pPr>
        <w:pStyle w:val="Heading1"/>
      </w:pPr>
      <w:r>
        <w:rPr>
          <w:b/>
          <w:color w:val="1F4E78"/>
          <w:sz w:val="30"/>
        </w:rPr>
        <w:t>7. Рекомендации и план действий</w:t>
      </w:r>
    </w:p>
    <w:p>
      <w:pPr>
        <w:pStyle w:val="ListBullet"/>
      </w:pPr>
      <w:r>
        <w:t>1. Расширить рабочий проход до ~3,3–3,7 м; использовать стандартный counterbalance AGV (омни — исключить).</w:t>
      </w:r>
    </w:p>
    <w:p>
      <w:pPr>
        <w:pStyle w:val="ListBullet"/>
      </w:pPr>
      <w:r>
        <w:t>2. Запросить КП у 4–6 вендоров шорт-листа: VisionNav (VNP15), Multiway (MW-SE15/SE20), Hikrobot (MR-F4-1500), Hyster/Yale «Driven by Balyo» (LOWY CB), JBT (CB 1500); для запаса — Rocla AWT, DS Automotion ARNY.</w:t>
      </w:r>
    </w:p>
    <w:p>
      <w:pPr>
        <w:pStyle w:val="ListBullet"/>
      </w:pPr>
      <w:r>
        <w:t>3. В запросе КП обязательно требовать: Ast (проход под 90°), остаточную грузоподъёмность на 3 м, IP-класс, регламент чистки датчиков в пыли, соответствие ISO 3691-4:2023, поддержку VDA 5050.</w:t>
      </w:r>
    </w:p>
    <w:p>
      <w:pPr>
        <w:pStyle w:val="ListBullet"/>
      </w:pPr>
      <w:r>
        <w:t>4. Заказать имитационное моделирование — подтвердит парк 3–4 машины под 12 000 т/мес.</w:t>
      </w:r>
    </w:p>
    <w:p>
      <w:pPr>
        <w:pStyle w:val="ListBullet"/>
      </w:pPr>
      <w:r>
        <w:t>5. Провести пилот на реальной мешковой паллете: устойчивость 4-ярусной колонны, работа 3D-захвата по неровному верху мешков, поведение датчиков в запылённой среде.</w:t>
      </w:r>
    </w:p>
    <w:p>
      <w:pPr>
        <w:pStyle w:val="ListBullet"/>
      </w:pPr>
      <w:r>
        <w:t>6. Подготовить пол (FM2) и упаковку (стрейч + обвязка) до запуска.</w:t>
      </w:r>
    </w:p>
    <w:p/>
    <w:p>
      <w:r>
        <w:rPr>
          <w:b w:val="0"/>
          <w:i/>
          <w:color w:val="666666"/>
          <w:sz w:val="17"/>
        </w:rPr>
        <w:t>Методологическая оговорка: анализ построен на многоисточниковом веб-исследовании (2025–2026) с перекрёстной проверкой; часть страниц вендоров недоступна для автоматической выгрузки, поэтому отдельные характеристики взяты из поисковых сводок и требуют подтверждения официальными даташитами. Сопутствующие файлы: AGV_sravnenie_byudzhet.xlsx (детальные таблицы), AGV_rezume.pdf (краткое резюме), AGV_TZ_zapros_KP.pdf (черновик ТЗ/запроса КП).</w:t>
      </w:r>
    </w:p>
    <w:sectPr w:rsidR="00FC693F" w:rsidRPr="0006063C" w:rsidSect="00034616">
      <w:pgSz w:w="12240" w:h="15840"/>
      <w:pgMar w:top="1020" w:right="964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