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4C78EEE0" w:rsidR="00B31BCD" w:rsidRPr="00B31BCD" w:rsidRDefault="00E56FB0" w:rsidP="001C35A7">
      <w:pPr>
        <w:pStyle w:val="1"/>
      </w:pPr>
      <w:bookmarkStart w:id="0" w:name="_Toc190266913"/>
      <w:bookmarkStart w:id="1" w:name="_GoBack"/>
      <w:r>
        <w:t>Тема проекта «</w:t>
      </w:r>
      <w:r w:rsidR="00B31BCD" w:rsidRPr="00B31BCD">
        <w:t>Тенденции на рынке труда</w:t>
      </w:r>
      <w:bookmarkEnd w:id="0"/>
      <w:r>
        <w:t xml:space="preserve">» </w:t>
      </w:r>
    </w:p>
    <w:p w14:paraId="521B4357" w14:textId="2796DC35" w:rsidR="001C35A7" w:rsidRDefault="001C35A7">
      <w:pPr>
        <w:spacing w:line="240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2"/>
          <w:lang w:eastAsia="en-US"/>
        </w:rPr>
        <w:id w:val="-805932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87C083" w14:textId="7489DD4C" w:rsidR="006902FC" w:rsidRDefault="006902FC">
          <w:pPr>
            <w:pStyle w:val="ae"/>
          </w:pPr>
          <w:r>
            <w:t>Оглавление</w:t>
          </w:r>
        </w:p>
        <w:p w14:paraId="400FCFAD" w14:textId="403F2ABD" w:rsidR="006902FC" w:rsidRDefault="006902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66913" w:history="1">
            <w:r w:rsidRPr="00196FBB">
              <w:rPr>
                <w:rStyle w:val="a4"/>
                <w:noProof/>
              </w:rPr>
              <w:t>Тенденции на рынке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F03F" w14:textId="1ADD21A6" w:rsidR="006902FC" w:rsidRDefault="0037759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4" w:history="1">
            <w:r w:rsidR="006902FC" w:rsidRPr="00196FBB">
              <w:rPr>
                <w:rStyle w:val="a4"/>
                <w:noProof/>
              </w:rPr>
              <w:t>Экономическая активность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_Toc190266914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217376E8" w14:textId="74935BB0" w:rsidR="006902FC" w:rsidRDefault="0037759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5" w:history="1">
            <w:r w:rsidR="006902FC" w:rsidRPr="00196FBB">
              <w:rPr>
                <w:rStyle w:val="a4"/>
                <w:noProof/>
              </w:rPr>
              <w:t>Безработица среди мужчин и женщин.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_Toc190266915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2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65A569D6" w14:textId="39A2BD8F" w:rsidR="006902FC" w:rsidRDefault="00377590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90266916" w:history="1">
            <w:r w:rsidR="006902FC" w:rsidRPr="00196FBB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 w:rsidR="006902FC">
              <w:rPr>
                <w:noProof/>
                <w:webHidden/>
              </w:rPr>
              <w:tab/>
            </w:r>
            <w:r w:rsidR="006902FC">
              <w:rPr>
                <w:noProof/>
                <w:webHidden/>
              </w:rPr>
              <w:fldChar w:fldCharType="begin"/>
            </w:r>
            <w:r w:rsidR="006902FC">
              <w:rPr>
                <w:noProof/>
                <w:webHidden/>
              </w:rPr>
              <w:instrText xml:space="preserve"> PAGEREF _Toc190266916 \h </w:instrText>
            </w:r>
            <w:r w:rsidR="006902FC">
              <w:rPr>
                <w:noProof/>
                <w:webHidden/>
              </w:rPr>
            </w:r>
            <w:r w:rsidR="006902FC">
              <w:rPr>
                <w:noProof/>
                <w:webHidden/>
              </w:rPr>
              <w:fldChar w:fldCharType="separate"/>
            </w:r>
            <w:r w:rsidR="006902FC">
              <w:rPr>
                <w:noProof/>
                <w:webHidden/>
              </w:rPr>
              <w:t>3</w:t>
            </w:r>
            <w:r w:rsidR="006902FC">
              <w:rPr>
                <w:noProof/>
                <w:webHidden/>
              </w:rPr>
              <w:fldChar w:fldCharType="end"/>
            </w:r>
          </w:hyperlink>
        </w:p>
        <w:p w14:paraId="7EF151C1" w14:textId="334EE3E7" w:rsidR="006902FC" w:rsidRDefault="006902FC">
          <w:r>
            <w:rPr>
              <w:b/>
              <w:bCs/>
            </w:rPr>
            <w:fldChar w:fldCharType="end"/>
          </w:r>
        </w:p>
      </w:sdtContent>
    </w:sdt>
    <w:p w14:paraId="5B75F452" w14:textId="064700AE" w:rsidR="00022926" w:rsidRDefault="00B31BCD" w:rsidP="006902FC">
      <w:pPr>
        <w:pStyle w:val="2"/>
        <w:ind w:firstLine="708"/>
      </w:pPr>
      <w:bookmarkStart w:id="2" w:name="_Toc190266914"/>
      <w:r w:rsidRPr="00B31BCD">
        <w:t>Экономическая активность населения.</w:t>
      </w:r>
      <w:bookmarkEnd w:id="2"/>
    </w:p>
    <w:p w14:paraId="572AD257" w14:textId="4D81595B" w:rsidR="00B31BCD" w:rsidRPr="00B31BCD" w:rsidRDefault="00B31BCD" w:rsidP="001C35A7">
      <w:pPr>
        <w:jc w:val="both"/>
      </w:pPr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 w:rsidR="00DD0CB7">
        <w:t xml:space="preserve"> </w:t>
      </w:r>
    </w:p>
    <w:p w14:paraId="20D44AAB" w14:textId="77777777" w:rsidR="00B31BCD" w:rsidRPr="00B31BCD" w:rsidRDefault="00B31BCD" w:rsidP="001C35A7">
      <w:pPr>
        <w:jc w:val="both"/>
      </w:pPr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1C35A7">
      <w:pPr>
        <w:jc w:val="both"/>
      </w:pPr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174DE4">
      <w:pPr>
        <w:pStyle w:val="2"/>
      </w:pPr>
      <w:bookmarkStart w:id="3" w:name="_Toc190266915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DD0CB7">
      <w:pPr>
        <w:jc w:val="both"/>
      </w:pPr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0CC3A919" w:rsidR="00B31BCD" w:rsidRPr="00B31BCD" w:rsidRDefault="00B31BCD" w:rsidP="00845B1E">
      <w:pPr>
        <w:jc w:val="both"/>
      </w:pPr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 (6,2%).</w:t>
      </w:r>
      <w:r w:rsidR="00845B1E">
        <w:rPr>
          <w:rStyle w:val="af4"/>
        </w:rPr>
        <w:footnoteReference w:id="1"/>
      </w:r>
    </w:p>
    <w:p w14:paraId="5A3F85C4" w14:textId="5B50D899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1C35A7">
      <w:pPr>
        <w:jc w:val="both"/>
      </w:pPr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1C35A7">
      <w:pPr>
        <w:jc w:val="both"/>
      </w:pPr>
      <w:r w:rsidRPr="00B31BCD">
        <w:lastRenderedPageBreak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6902FC">
      <w:pPr>
        <w:pStyle w:val="2"/>
      </w:pPr>
      <w:bookmarkStart w:id="4" w:name="_Toc190266916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1C35A7">
      <w:pPr>
        <w:jc w:val="both"/>
      </w:pPr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1C35A7">
      <w:pPr>
        <w:jc w:val="both"/>
      </w:pPr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1C35A7">
      <w:pPr>
        <w:jc w:val="both"/>
      </w:pPr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003ED7CB" w:rsidR="00B31BCD" w:rsidRPr="00B31BCD" w:rsidRDefault="00B31BCD" w:rsidP="001C35A7">
      <w:pPr>
        <w:jc w:val="both"/>
      </w:pPr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F71549">
        <w:rPr>
          <w:rStyle w:val="af4"/>
        </w:rPr>
        <w:footnoteReference w:id="2"/>
      </w:r>
      <w:r w:rsidR="00BB75A3">
        <w:t xml:space="preserve"> </w:t>
      </w:r>
      <w:r w:rsidRPr="00B31BCD">
        <w:t>составил 81,5%, уровень безработицы</w:t>
      </w:r>
      <w:r w:rsidR="00F71549">
        <w:rPr>
          <w:rStyle w:val="af4"/>
        </w:rPr>
        <w:footnoteReference w:id="3"/>
      </w:r>
      <w:r w:rsidR="00BB75A3">
        <w:t xml:space="preserve"> </w:t>
      </w:r>
      <w:r w:rsidRPr="00B31BCD">
        <w:t xml:space="preserve">- 3,6%, со средним </w:t>
      </w:r>
      <w:r w:rsidRPr="00B31BCD">
        <w:lastRenderedPageBreak/>
        <w:t>профессиональным образованием соответственно 73,7% и 5,1%, начальным профессиональным образованием - 73,2% и 6,7%.</w:t>
      </w:r>
    </w:p>
    <w:p w14:paraId="4A84DC1C" w14:textId="2B903527" w:rsidR="00B31BCD" w:rsidRPr="00B31BCD" w:rsidRDefault="00B31BCD" w:rsidP="00845B1E">
      <w:pPr>
        <w:jc w:val="both"/>
      </w:pPr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65FD0A84" w14:textId="630A2117" w:rsidR="00B31BCD" w:rsidRPr="00B31BCD" w:rsidRDefault="0044781C" w:rsidP="001C35A7">
      <w:pPr>
        <w:jc w:val="both"/>
      </w:pPr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1C35A7">
      <w:pPr>
        <w:jc w:val="both"/>
      </w:pPr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ECC91A4" w14:textId="77777777" w:rsidR="00845B1E" w:rsidRDefault="00845B1E">
      <w:pPr>
        <w:spacing w:line="240" w:lineRule="auto"/>
        <w:ind w:firstLine="0"/>
      </w:pPr>
      <w:r>
        <w:br w:type="page"/>
      </w:r>
    </w:p>
    <w:p w14:paraId="21171022" w14:textId="77777777" w:rsidR="00845B1E" w:rsidRDefault="005C216B" w:rsidP="001C35A7">
      <w:pPr>
        <w:jc w:val="both"/>
        <w:sectPr w:rsidR="00845B1E" w:rsidSect="00AB292E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lastRenderedPageBreak/>
        <w:t>Таблица 1</w:t>
      </w:r>
      <w:r w:rsidR="00BB75A3">
        <w:t xml:space="preserve">. </w:t>
      </w:r>
      <w:r w:rsidR="00B31BCD" w:rsidRPr="00B31BCD">
        <w:t>Экономическая активность</w:t>
      </w:r>
      <w:r w:rsidR="00845B1E">
        <w:t xml:space="preserve"> населения в возрасте 15-72 лет</w:t>
      </w:r>
      <w:r w:rsidR="00B31BCD" w:rsidRPr="00B31BCD">
        <w:t>,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2BBAA93A" w14:textId="5589C352" w:rsidR="00B31BCD" w:rsidRPr="00B31BCD" w:rsidRDefault="00B31BCD" w:rsidP="001C35A7">
      <w:pPr>
        <w:jc w:val="both"/>
      </w:pPr>
    </w:p>
    <w:tbl>
      <w:tblPr>
        <w:tblStyle w:val="a9"/>
        <w:tblW w:w="11165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C63AAE" w:rsidRPr="00B31BCD" w14:paraId="1B11FE61" w14:textId="77777777" w:rsidTr="00AB2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 w:val="restart"/>
            <w:hideMark/>
          </w:tcPr>
          <w:p w14:paraId="32FACDB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тыс.человек</w:t>
            </w:r>
            <w:proofErr w:type="spell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1C35A7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vMerge/>
            <w:hideMark/>
          </w:tcPr>
          <w:p w14:paraId="1C587F92" w14:textId="77777777" w:rsidR="00B31BCD" w:rsidRPr="00B31BCD" w:rsidRDefault="00B31BCD" w:rsidP="001C35A7">
            <w:pPr>
              <w:spacing w:line="240" w:lineRule="auto"/>
              <w:jc w:val="both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3AAE" w:rsidRPr="00B31BCD" w14:paraId="4FC2B75E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E0FA10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C63AAE" w:rsidRPr="00B31BCD" w14:paraId="3D3371E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C015ED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C63AAE" w:rsidRPr="00B31BCD" w14:paraId="20C6F14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9A6999D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C63AAE" w:rsidRPr="00B31BCD" w14:paraId="23B18FE1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B23191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CCC557A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6DE968D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C63AAE" w:rsidRPr="00B31BCD" w14:paraId="18AD98EC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5F82C24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C63AAE" w:rsidRPr="00B31BCD" w14:paraId="6E8F2A8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6D056EC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C63AAE" w:rsidRPr="00B31BCD" w14:paraId="0E464C0B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055F49B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732B8A8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9DFE9A2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C63AAE" w:rsidRPr="00B31BCD" w14:paraId="435A31A9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FE2ED7A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C63AAE" w:rsidRPr="00B31BCD" w14:paraId="36535E26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6300159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lastRenderedPageBreak/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C63AAE" w:rsidRPr="00B31BCD" w14:paraId="59131B45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74FA6E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43D82D22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4D0A12F0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4C06861E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574855E7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C63AAE" w:rsidRPr="00B31BCD" w14:paraId="0C2E9BE5" w14:textId="77777777" w:rsidTr="00AB2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31540F6E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1C35A7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C63AAE" w:rsidRPr="00B31BCD" w14:paraId="7C67ACE6" w14:textId="77777777" w:rsidTr="00AB2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3" w:type="pct"/>
            <w:hideMark/>
          </w:tcPr>
          <w:p w14:paraId="731F5803" w14:textId="77777777" w:rsidR="00B31BCD" w:rsidRPr="00B31BCD" w:rsidRDefault="00B31BCD" w:rsidP="001C35A7">
            <w:pPr>
              <w:spacing w:line="240" w:lineRule="auto"/>
              <w:jc w:val="both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1C35A7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37A39AB" w:rsidR="00BB75A3" w:rsidRDefault="00BB75A3" w:rsidP="001C35A7">
      <w:pPr>
        <w:jc w:val="both"/>
      </w:pPr>
    </w:p>
    <w:p w14:paraId="37D1B9F5" w14:textId="77777777" w:rsidR="00945E4A" w:rsidRDefault="00945E4A" w:rsidP="001C35A7">
      <w:pPr>
        <w:jc w:val="both"/>
        <w:sectPr w:rsidR="00945E4A" w:rsidSect="00845B1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59497BD2" w14:textId="77777777" w:rsidR="00FC753D" w:rsidRDefault="00FC753D" w:rsidP="00FC753D">
      <w:pPr>
        <w:pStyle w:val="2"/>
      </w:pPr>
      <w:r>
        <w:lastRenderedPageBreak/>
        <w:t>Некоторые тенденции на рынке труда в 2025 году:</w:t>
      </w:r>
    </w:p>
    <w:p w14:paraId="731FFA9B" w14:textId="77777777" w:rsidR="00FC753D" w:rsidRDefault="00FC753D" w:rsidP="00FC753D">
      <w:pPr>
        <w:ind w:firstLine="0"/>
        <w:jc w:val="both"/>
      </w:pPr>
    </w:p>
    <w:p w14:paraId="2CDE0BEA" w14:textId="28F4E0DA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Замедление темпов роста зарплат. Уровень оплаты труда уже достаточно высок, поэтому компании из других сфер всё меньше способны участвовать в гонке за высокими заработками. </w:t>
      </w:r>
    </w:p>
    <w:p w14:paraId="5D7BD05F" w14:textId="5562D30D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Стабилизация уровня безработицы. </w:t>
      </w:r>
    </w:p>
    <w:p w14:paraId="71F5A779" w14:textId="1F5BE0CB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«Индустриализация» занятости, то есть увеличение доли промышленности в экономике. </w:t>
      </w:r>
    </w:p>
    <w:p w14:paraId="7826BA6D" w14:textId="22CB910F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Переманивание молодых и ценных кадров из компании в компанию. </w:t>
      </w:r>
    </w:p>
    <w:p w14:paraId="00CACFFA" w14:textId="7688A099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Переток специалистов из государственного сектора в частный. </w:t>
      </w:r>
    </w:p>
    <w:p w14:paraId="7F995E57" w14:textId="7285F79A" w:rsidR="00FC753D" w:rsidRDefault="00FC753D" w:rsidP="00FC753D">
      <w:pPr>
        <w:pStyle w:val="af5"/>
        <w:numPr>
          <w:ilvl w:val="0"/>
          <w:numId w:val="1"/>
        </w:numPr>
        <w:jc w:val="both"/>
      </w:pPr>
      <w:r>
        <w:t xml:space="preserve">Активное развитие в организациях разнообразных способов удержания и мотивации персонала. </w:t>
      </w:r>
    </w:p>
    <w:p w14:paraId="33035BEB" w14:textId="225E9A9E" w:rsidR="00945E4A" w:rsidRDefault="00FC753D" w:rsidP="00FC753D">
      <w:pPr>
        <w:pStyle w:val="af5"/>
        <w:numPr>
          <w:ilvl w:val="0"/>
          <w:numId w:val="1"/>
        </w:numPr>
        <w:jc w:val="both"/>
      </w:pPr>
      <w:r>
        <w:t>При этом дефицит кадров в экономике не будет восполнен: по оценке правительства, в ближайшие шесть лет России будет не хватать 3,1 млн занятых.</w:t>
      </w:r>
    </w:p>
    <w:p w14:paraId="225E5CFE" w14:textId="446A9CF1" w:rsidR="00E835E7" w:rsidRDefault="00E835E7" w:rsidP="00E835E7">
      <w:pPr>
        <w:jc w:val="both"/>
      </w:pPr>
    </w:p>
    <w:p w14:paraId="4913AA0F" w14:textId="0996EC02" w:rsidR="00E835E7" w:rsidRDefault="00E835E7" w:rsidP="00E835E7">
      <w:pPr>
        <w:jc w:val="both"/>
      </w:pPr>
    </w:p>
    <w:p w14:paraId="7DE8CC62" w14:textId="348EDF63" w:rsidR="00E835E7" w:rsidRPr="00B31BCD" w:rsidRDefault="00E835E7" w:rsidP="00E835E7">
      <w:pPr>
        <w:jc w:val="both"/>
      </w:pPr>
      <w:r>
        <w:t xml:space="preserve">Если было бы все так просто, как ты </w:t>
      </w:r>
      <w:proofErr w:type="gramStart"/>
      <w:r>
        <w:t>пишешь,,</w:t>
      </w:r>
      <w:proofErr w:type="gramEnd"/>
      <w:r>
        <w:t xml:space="preserve"> сын мой, то я был бы преподавателем ТПУ.</w:t>
      </w:r>
      <w:bookmarkEnd w:id="1"/>
    </w:p>
    <w:sectPr w:rsidR="00E835E7" w:rsidRPr="00B31BCD" w:rsidSect="00945E4A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F8A64" w14:textId="77777777" w:rsidR="00377590" w:rsidRDefault="00377590" w:rsidP="00AB292E">
      <w:pPr>
        <w:spacing w:line="240" w:lineRule="auto"/>
      </w:pPr>
      <w:r>
        <w:separator/>
      </w:r>
    </w:p>
  </w:endnote>
  <w:endnote w:type="continuationSeparator" w:id="0">
    <w:p w14:paraId="05A236F9" w14:textId="77777777" w:rsidR="00377590" w:rsidRDefault="00377590" w:rsidP="00AB29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1103786"/>
      <w:docPartObj>
        <w:docPartGallery w:val="Page Numbers (Bottom of Page)"/>
        <w:docPartUnique/>
      </w:docPartObj>
    </w:sdtPr>
    <w:sdtEndPr/>
    <w:sdtContent>
      <w:p w14:paraId="7A20F2E2" w14:textId="59E4D87E" w:rsidR="00AB292E" w:rsidRDefault="00AB292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5E7">
          <w:rPr>
            <w:noProof/>
          </w:rPr>
          <w:t>6</w:t>
        </w:r>
        <w:r>
          <w:fldChar w:fldCharType="end"/>
        </w:r>
      </w:p>
    </w:sdtContent>
  </w:sdt>
  <w:p w14:paraId="48D27531" w14:textId="77777777" w:rsidR="00AB292E" w:rsidRDefault="00AB29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4408A" w14:textId="77777777" w:rsidR="00377590" w:rsidRDefault="00377590" w:rsidP="00AB292E">
      <w:pPr>
        <w:spacing w:line="240" w:lineRule="auto"/>
      </w:pPr>
      <w:r>
        <w:separator/>
      </w:r>
    </w:p>
  </w:footnote>
  <w:footnote w:type="continuationSeparator" w:id="0">
    <w:p w14:paraId="0347B6E4" w14:textId="77777777" w:rsidR="00377590" w:rsidRDefault="00377590" w:rsidP="00AB292E">
      <w:pPr>
        <w:spacing w:line="240" w:lineRule="auto"/>
      </w:pPr>
      <w:r>
        <w:continuationSeparator/>
      </w:r>
    </w:p>
  </w:footnote>
  <w:footnote w:id="1">
    <w:p w14:paraId="536F763A" w14:textId="541FA407" w:rsidR="00845B1E" w:rsidRDefault="00845B1E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1) 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2">
    <w:p w14:paraId="6FAEC9E0" w14:textId="4C695CB6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2F807A7E" w14:textId="73242232" w:rsidR="00F71549" w:rsidRDefault="00F71549">
      <w:pPr>
        <w:pStyle w:val="af2"/>
      </w:pPr>
      <w:r>
        <w:rPr>
          <w:rStyle w:val="af4"/>
        </w:rPr>
        <w:footnoteRef/>
      </w:r>
      <w:r>
        <w:t xml:space="preserve"> </w:t>
      </w:r>
      <w:r w:rsidRPr="00B31BCD"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74C8A"/>
    <w:multiLevelType w:val="hybridMultilevel"/>
    <w:tmpl w:val="21D2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174DE4"/>
    <w:rsid w:val="001C35A7"/>
    <w:rsid w:val="001C370C"/>
    <w:rsid w:val="00342B82"/>
    <w:rsid w:val="00377590"/>
    <w:rsid w:val="0044781C"/>
    <w:rsid w:val="005C216B"/>
    <w:rsid w:val="005C2369"/>
    <w:rsid w:val="005C7F01"/>
    <w:rsid w:val="006902FC"/>
    <w:rsid w:val="00845B1E"/>
    <w:rsid w:val="008510A0"/>
    <w:rsid w:val="00945E4A"/>
    <w:rsid w:val="009F133D"/>
    <w:rsid w:val="00AB292E"/>
    <w:rsid w:val="00B0259A"/>
    <w:rsid w:val="00B31BCD"/>
    <w:rsid w:val="00BB75A3"/>
    <w:rsid w:val="00C4325A"/>
    <w:rsid w:val="00C63AAE"/>
    <w:rsid w:val="00D35992"/>
    <w:rsid w:val="00DD0CB7"/>
    <w:rsid w:val="00E15CB2"/>
    <w:rsid w:val="00E278DC"/>
    <w:rsid w:val="00E431D0"/>
    <w:rsid w:val="00E56FB0"/>
    <w:rsid w:val="00E835E7"/>
    <w:rsid w:val="00EC5F56"/>
    <w:rsid w:val="00F14556"/>
    <w:rsid w:val="00F71549"/>
    <w:rsid w:val="00F75A9F"/>
    <w:rsid w:val="00FA50CB"/>
    <w:rsid w:val="00F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DE4"/>
    <w:pPr>
      <w:spacing w:line="300" w:lineRule="auto"/>
      <w:ind w:firstLine="737"/>
    </w:pPr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C35A7"/>
    <w:pPr>
      <w:keepNext/>
      <w:keepLines/>
      <w:spacing w:before="24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DE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35A7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174DE4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  <w:lang w:eastAsia="en-US"/>
    </w:rPr>
  </w:style>
  <w:style w:type="table" w:customStyle="1" w:styleId="a8">
    <w:name w:val="ТАБЛИЦА"/>
    <w:basedOn w:val="21"/>
    <w:uiPriority w:val="99"/>
    <w:rsid w:val="00174DE4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9">
    <w:name w:val="Таблица"/>
    <w:basedOn w:val="-5"/>
    <w:uiPriority w:val="99"/>
    <w:rsid w:val="00AB292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21">
    <w:name w:val="Table Colorful 2"/>
    <w:basedOn w:val="a1"/>
    <w:uiPriority w:val="99"/>
    <w:semiHidden/>
    <w:unhideWhenUsed/>
    <w:rsid w:val="00174DE4"/>
    <w:pPr>
      <w:spacing w:line="300" w:lineRule="auto"/>
      <w:ind w:firstLine="737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">
    <w:name w:val="header"/>
    <w:basedOn w:val="a"/>
    <w:link w:val="ab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table" w:styleId="-5">
    <w:name w:val="Colorful Grid Accent 5"/>
    <w:basedOn w:val="a1"/>
    <w:uiPriority w:val="73"/>
    <w:semiHidden/>
    <w:unhideWhenUsed/>
    <w:rsid w:val="00AB29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c">
    <w:name w:val="footer"/>
    <w:basedOn w:val="a"/>
    <w:link w:val="ad"/>
    <w:uiPriority w:val="99"/>
    <w:unhideWhenUsed/>
    <w:rsid w:val="00AB292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B292E"/>
    <w:rPr>
      <w:rFonts w:ascii="Times New Roman" w:hAnsi="Times New Roman"/>
      <w:color w:val="000000" w:themeColor="text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AB292E"/>
    <w:pPr>
      <w:spacing w:line="259" w:lineRule="auto"/>
      <w:ind w:firstLine="0"/>
      <w:outlineLvl w:val="9"/>
    </w:pPr>
    <w:rPr>
      <w:rFonts w:asciiTheme="majorHAnsi" w:hAnsiTheme="majorHAnsi"/>
      <w:i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292E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AB292E"/>
    <w:pPr>
      <w:spacing w:after="100"/>
      <w:ind w:left="280"/>
    </w:pPr>
  </w:style>
  <w:style w:type="paragraph" w:styleId="af">
    <w:name w:val="endnote text"/>
    <w:basedOn w:val="a"/>
    <w:link w:val="af0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1">
    <w:name w:val="endnote reference"/>
    <w:basedOn w:val="a0"/>
    <w:uiPriority w:val="99"/>
    <w:semiHidden/>
    <w:unhideWhenUsed/>
    <w:rsid w:val="006902FC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6902FC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6902FC"/>
    <w:rPr>
      <w:rFonts w:ascii="Times New Roman" w:hAnsi="Times New Roman"/>
      <w:color w:val="000000" w:themeColor="text1"/>
      <w:lang w:eastAsia="en-US"/>
    </w:rPr>
  </w:style>
  <w:style w:type="character" w:styleId="af4">
    <w:name w:val="footnote reference"/>
    <w:basedOn w:val="a0"/>
    <w:uiPriority w:val="99"/>
    <w:semiHidden/>
    <w:unhideWhenUsed/>
    <w:rsid w:val="006902FC"/>
    <w:rPr>
      <w:vertAlign w:val="superscript"/>
    </w:rPr>
  </w:style>
  <w:style w:type="paragraph" w:styleId="af5">
    <w:name w:val="List Paragraph"/>
    <w:basedOn w:val="a"/>
    <w:uiPriority w:val="34"/>
    <w:qFormat/>
    <w:rsid w:val="00FC7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F8F62-8CCE-4FF9-B090-5D957FA59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1116</Words>
  <Characters>6365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SerGO</cp:lastModifiedBy>
  <cp:revision>5</cp:revision>
  <dcterms:created xsi:type="dcterms:W3CDTF">2025-03-05T17:50:00Z</dcterms:created>
  <dcterms:modified xsi:type="dcterms:W3CDTF">2025-03-05T18:07:00Z</dcterms:modified>
</cp:coreProperties>
</file>