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DA0047">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2" w:name="_Toc451433782"/>
      <w:bookmarkStart w:id="3" w:name="_Toc514353610"/>
      <w:r w:rsidRPr="002D2373">
        <w:t xml:space="preserve">1.1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4" w:name="_Toc451433783"/>
      <w:bookmarkStart w:id="5" w:name="_Toc514353611"/>
      <w:r w:rsidRPr="00E67813">
        <w:t xml:space="preserve">1.2 </w:t>
      </w:r>
      <w:r w:rsidR="006C75D0" w:rsidRPr="002D2373">
        <w:t>Классификация видов тестирования</w:t>
      </w:r>
      <w:bookmarkEnd w:id="4"/>
      <w:bookmarkEnd w:id="5"/>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Канера, «Тестирование программного обеспечения» и интернет-ресурс, посвященный тестированию, «Про Тестинг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6" w:name="_Toc514353612"/>
      <w:r w:rsidRPr="002D2373">
        <w:t>1.2.1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Портируемость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w:t>
      </w:r>
      <w:r w:rsidRPr="002D2373">
        <w:rPr>
          <w:rFonts w:ascii="Times New Roman" w:hAnsi="Times New Roman" w:cs="Times New Roman"/>
          <w:sz w:val="28"/>
          <w:szCs w:val="28"/>
        </w:rPr>
        <w:lastRenderedPageBreak/>
        <w:t>подвергаются кибер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w:t>
      </w:r>
      <w:r w:rsidRPr="002D2373">
        <w:rPr>
          <w:rFonts w:ascii="Times New Roman" w:hAnsi="Times New Roman" w:cs="Times New Roman"/>
          <w:sz w:val="28"/>
          <w:szCs w:val="28"/>
        </w:rPr>
        <w:lastRenderedPageBreak/>
        <w:t>оптимальной 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8" w:name="_Toc514353614"/>
      <w:r w:rsidRPr="002D2373">
        <w:lastRenderedPageBreak/>
        <w:t xml:space="preserve">1.2.3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 xml:space="preserve">1.2.4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w:t>
      </w:r>
      <w:r w:rsidRPr="002D2373">
        <w:rPr>
          <w:rFonts w:ascii="Times New Roman" w:hAnsi="Times New Roman" w:cs="Times New Roman"/>
          <w:sz w:val="28"/>
          <w:szCs w:val="28"/>
        </w:rPr>
        <w:lastRenderedPageBreak/>
        <w:t>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4353616"/>
      <w:r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логирования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0002C8">
      <w:pPr>
        <w:pStyle w:val="1"/>
        <w:spacing w:before="0" w:after="0" w:line="360" w:lineRule="auto"/>
      </w:pPr>
      <w:bookmarkStart w:id="11" w:name="_Toc514353617"/>
      <w:r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w:t>
      </w:r>
      <w:r w:rsidRPr="002D2373">
        <w:rPr>
          <w:rFonts w:ascii="Times New Roman" w:hAnsi="Times New Roman" w:cs="Times New Roman"/>
          <w:sz w:val="28"/>
          <w:szCs w:val="28"/>
        </w:rPr>
        <w:lastRenderedPageBreak/>
        <w:t>негативного тестирования - это проверить устойчивость системы к различным воздействиям, способность правильно валидировать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0002C8">
      <w:pPr>
        <w:pStyle w:val="1"/>
        <w:spacing w:before="0" w:after="0" w:line="360" w:lineRule="auto"/>
      </w:pPr>
      <w:bookmarkStart w:id="12" w:name="_Toc514353618"/>
      <w:r w:rsidRPr="002D2373">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r w:rsidR="000002C8">
        <w:rPr>
          <w:sz w:val="28"/>
          <w:szCs w:val="28"/>
          <w:lang w:val="en-US"/>
        </w:rPr>
        <w:t>;</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r w:rsidR="000002C8">
        <w:rPr>
          <w:sz w:val="28"/>
          <w:szCs w:val="28"/>
          <w:lang w:val="en-US"/>
        </w:rPr>
        <w:t>;</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r w:rsidR="000002C8">
        <w:rPr>
          <w:sz w:val="28"/>
          <w:szCs w:val="28"/>
          <w:lang w:val="en-US"/>
        </w:rPr>
        <w:t>.</w:t>
      </w:r>
    </w:p>
    <w:p w:rsidR="006C75D0" w:rsidRPr="002D2373" w:rsidRDefault="00FF0DFF" w:rsidP="000002C8">
      <w:pPr>
        <w:pStyle w:val="1"/>
        <w:spacing w:before="0" w:after="0" w:line="360" w:lineRule="auto"/>
      </w:pPr>
      <w:bookmarkStart w:id="15" w:name="_Toc514353620"/>
      <w:r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lastRenderedPageBreak/>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0002C8"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6" w:name="_Toc514353621"/>
      <w:r w:rsidRPr="002D2373">
        <w:t xml:space="preserve">1.3.2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w:t>
      </w:r>
      <w:r w:rsidRPr="002D2373">
        <w:rPr>
          <w:sz w:val="28"/>
          <w:szCs w:val="28"/>
        </w:rPr>
        <w:lastRenderedPageBreak/>
        <w:t>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7" w:name="_Toc514353622"/>
      <w:r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8" w:name="_Toc451433785"/>
      <w:bookmarkStart w:id="19" w:name="_Toc514353623"/>
      <w:r>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0" w:name="_Toc451433786"/>
      <w:bookmarkStart w:id="21" w:name="_Toc514353624"/>
      <w:r w:rsidRPr="00E67813">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(test suite).</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2" w:name="_Toc514353625"/>
      <w:r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Название.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Предусловия. Список шагов, не имеющих прямого отношения к проверяемому функционалу, которые необходимо выполнить до начала </w:t>
      </w:r>
      <w:r w:rsidRPr="002D2373">
        <w:rPr>
          <w:rFonts w:ascii="Times New Roman" w:hAnsi="Times New Roman" w:cs="Times New Roman"/>
          <w:sz w:val="28"/>
          <w:szCs w:val="28"/>
        </w:rPr>
        <w:lastRenderedPageBreak/>
        <w:t>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r w:rsidR="000002C8">
        <w:rPr>
          <w:rFonts w:ascii="Times New Roman" w:hAnsi="Times New Roman" w:cs="Times New Roman"/>
          <w:sz w:val="28"/>
          <w:szCs w:val="28"/>
          <w:lang w:val="en-US"/>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 xml:space="preserve">1.4.3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 xml:space="preserve">1.4.4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w:t>
      </w:r>
      <w:r w:rsidRPr="002D2373">
        <w:rPr>
          <w:rFonts w:ascii="Times New Roman" w:hAnsi="Times New Roman" w:cs="Times New Roman"/>
          <w:sz w:val="28"/>
          <w:szCs w:val="28"/>
        </w:rPr>
        <w:lastRenderedPageBreak/>
        <w:t>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6" w:name="_Toc451433788"/>
      <w:bookmarkStart w:id="27" w:name="_Toc514353628"/>
      <w:r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логи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0002C8">
      <w:pPr>
        <w:pStyle w:val="1"/>
        <w:spacing w:before="0" w:after="0" w:line="360" w:lineRule="auto"/>
      </w:pPr>
      <w:bookmarkStart w:id="28" w:name="_Toc451433789"/>
      <w:bookmarkStart w:id="29" w:name="_Toc514353629"/>
      <w:r w:rsidRPr="002D2373">
        <w:lastRenderedPageBreak/>
        <w:t>2.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0" w:name="_Toc451433790"/>
      <w:bookmarkStart w:id="31" w:name="_Toc514353630"/>
      <w:r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2" w:name="_Toc514353631"/>
      <w:r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Труднодоступные места в системе, такие как запись в базу данных, бекэнд процессы, логирование</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Валидационные сообщения (проверка появления валидации при некорректном заполнении поля)</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r w:rsidR="000002C8">
        <w:rPr>
          <w:rFonts w:ascii="Times New Roman" w:hAnsi="Times New Roman" w:cs="Times New Roman"/>
          <w:sz w:val="28"/>
          <w:szCs w:val="28"/>
          <w:lang w:val="en-US"/>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0002C8">
        <w:rPr>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Pr>
          <w:rFonts w:ascii="Times New Roman" w:hAnsi="Times New Roman" w:cs="Times New Roman"/>
          <w:sz w:val="28"/>
          <w:szCs w:val="28"/>
          <w:lang w:val="en-US"/>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3" w:name="_Toc451433791"/>
      <w:bookmarkStart w:id="34" w:name="_Toc514353632"/>
      <w:r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1974AF" w:rsidRPr="002D2373">
        <w:lastRenderedPageBreak/>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Гради Бучем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(code review),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6" w:name="_Toc514353634"/>
      <w:r w:rsidRPr="002D2373">
        <w:t>Организация</w:t>
      </w:r>
      <w:r w:rsidRPr="002D2373">
        <w:rPr>
          <w:lang w:val="en-US"/>
        </w:rPr>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daily build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sidRPr="00C32D85">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branch)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merge) с основным кодом или «стволом» (англ. trunk)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7" w:name="_Toc514353635"/>
      <w:r w:rsidRPr="002D2373">
        <w:lastRenderedPageBreak/>
        <w:t>Популярные CI-платформы.</w:t>
      </w:r>
      <w:bookmarkEnd w:id="37"/>
    </w:p>
    <w:p w:rsidR="00495933" w:rsidRPr="002D2373" w:rsidRDefault="00495933" w:rsidP="00526BBD">
      <w:pPr>
        <w:pStyle w:val="1"/>
        <w:numPr>
          <w:ilvl w:val="2"/>
          <w:numId w:val="24"/>
        </w:numPr>
        <w:spacing w:before="0" w:after="0" w:line="360" w:lineRule="auto"/>
      </w:pPr>
      <w:bookmarkStart w:id="38" w:name="_Toc514353636"/>
      <w:r w:rsidRPr="002D2373">
        <w:t>CircleCI</w:t>
      </w:r>
      <w:bookmarkEnd w:id="38"/>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CircleCI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r w:rsidRPr="002D2373">
        <w:rPr>
          <w:rFonts w:ascii="Times New Roman" w:eastAsia="Times New Roman" w:hAnsi="Times New Roman" w:cs="Times New Roman"/>
          <w:sz w:val="28"/>
          <w:szCs w:val="28"/>
          <w:lang w:val="en-US" w:eastAsia="ru-RU"/>
        </w:rPr>
        <w:t>js</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Ubuntu (12.04, 14.04), Mac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Github, Bitbucket;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AWS, Azure, Heroku, Docker,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Jira, HipChat, Slack.</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Недостатки CircleCI:</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116B8A"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Go (Golang), Haskell, Java, PHP, Python, Ruby/Rails, Scala;</w:t>
      </w:r>
    </w:p>
    <w:p w:rsidR="00495933" w:rsidRPr="002D2373" w:rsidRDefault="00116B8A"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39" w:name="_Toc514353637"/>
      <w:r w:rsidRPr="002D2373">
        <w:t>Travis CI</w:t>
      </w:r>
      <w:bookmarkEnd w:id="39"/>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r w:rsidRPr="00487851">
        <w:rPr>
          <w:sz w:val="28"/>
          <w:szCs w:val="28"/>
        </w:rPr>
        <w:t>Travis CI</w:t>
      </w:r>
      <w:r>
        <w:rPr>
          <w:sz w:val="28"/>
          <w:szCs w:val="28"/>
          <w:lang w:val="en-US"/>
        </w:rPr>
        <w:t>:</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116B8A"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т Docker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TravisCI </w:t>
      </w:r>
      <w:r w:rsidR="006F300F" w:rsidRPr="002D2373">
        <w:rPr>
          <w:rStyle w:val="a7"/>
          <w:rFonts w:eastAsiaTheme="majorEastAsia"/>
          <w:sz w:val="28"/>
          <w:szCs w:val="28"/>
          <w:lang w:val="en-US"/>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Запуск тестов одновременно под Linux и Mac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Clojure</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Erlang</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Haxe</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js</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Поддержка build matrix.</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Достоинства Travis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Build matrix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w:t>
      </w:r>
      <w:r w:rsidRPr="002D2373">
        <w:rPr>
          <w:rFonts w:ascii="Times New Roman" w:hAnsi="Times New Roman" w:cs="Times New Roman"/>
          <w:sz w:val="28"/>
          <w:szCs w:val="28"/>
        </w:rPr>
        <w:lastRenderedPageBreak/>
        <w:t>целиком не будет считаться неудачной (это удобно при использовании dev-версий пакетов);</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есплатная версия для opensource-проектов;</w:t>
      </w:r>
    </w:p>
    <w:p w:rsidR="001657F7" w:rsidRPr="002D2373" w:rsidRDefault="00882EA3"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Недостатки Travis CI:</w:t>
      </w:r>
    </w:p>
    <w:p w:rsidR="001657F7" w:rsidRPr="002D2373" w:rsidRDefault="00882EA3"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 сравнению с CircleCI цены выше, нет бесплатной версии для коммерческого использования;</w:t>
      </w:r>
    </w:p>
    <w:p w:rsidR="001657F7" w:rsidRPr="002D2373" w:rsidRDefault="00882EA3"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0" w:name="_Toc514353638"/>
      <w:r w:rsidRPr="002D2373">
        <w:t>Jenkins</w:t>
      </w:r>
      <w:bookmarkEnd w:id="40"/>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Jenkins — это автономное приложение на Java, которое может работать под Windows, Mac OS X и другими unix-подобными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В Update Center можно найти сотни плагинов, поэтому Jenkins интегрируется практически с любым инструментом, относящимся к непрерывной интеграции и непрерывной поставке (continuous delivery).</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Возможности Jenkins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Freestyle project, Pipeline, External Job, Multi-configuration project, Folder, GitHub Organization, Multibranch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Jenkins Pipeline — это набор плагинов, поддерживающих создание и интеграцию в Jenkins цепочек непрерывной поставки. Pipeline предоставляет расширяемый набор инструментов по моделированию цепочек поставки типа "as code" различной степени сложности с помощью Pipeline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lastRenderedPageBreak/>
        <w:t>Jenkins может работать с Libvirt, Kubernetes, Docker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(job),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Jenkins:</w:t>
      </w:r>
    </w:p>
    <w:p w:rsidR="006F300F" w:rsidRPr="006F300F" w:rsidRDefault="00882EA3"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82EA3"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Недостатки Jenkins:</w:t>
      </w:r>
    </w:p>
    <w:p w:rsidR="006F300F" w:rsidRPr="002D2373" w:rsidRDefault="00882EA3"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ребуется выделенный сервер (или несколько серверов), что влечет за собой дополнительные расходы на сам сервер, DevOps и т. д.;</w:t>
      </w:r>
    </w:p>
    <w:p w:rsidR="007E5070" w:rsidRDefault="00882EA3"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w:t>
      </w:r>
      <w:r w:rsidR="006F300F" w:rsidRPr="006F300F">
        <w:rPr>
          <w:rFonts w:ascii="Times New Roman" w:eastAsia="Times New Roman" w:hAnsi="Times New Roman" w:cs="Times New Roman"/>
          <w:sz w:val="28"/>
          <w:szCs w:val="28"/>
          <w:lang w:eastAsia="ru-RU"/>
        </w:rPr>
        <w:t>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9458BE">
      <w:pPr>
        <w:pStyle w:val="1"/>
        <w:numPr>
          <w:ilvl w:val="1"/>
          <w:numId w:val="26"/>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фреймворков для модульного тестирования, структура и функциональность которых основана на SUnit,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Smalltalk. SUnit,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фреймворков этого семейства образованы аналогично "SUnit",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фреймворков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Модуль, выполняющий тестирование (Test runner)</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Тестовые сценарии (Test cases)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Конфигурации тестирования (Test fixtures)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w:t>
      </w:r>
      <w:r w:rsidRPr="002D2373">
        <w:rPr>
          <w:rFonts w:ascii="Times New Roman" w:hAnsi="Times New Roman" w:cs="Times New Roman"/>
          <w:sz w:val="28"/>
          <w:szCs w:val="28"/>
        </w:rPr>
        <w:lastRenderedPageBreak/>
        <w:t>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Наборы тестов (Test suites)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Выполнение тестов (Test execution)</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n"/>
          <w:rFonts w:ascii="Times New Roman" w:hAnsi="Times New Roman" w:cs="Times New Roman"/>
          <w:sz w:val="28"/>
          <w:szCs w:val="28"/>
        </w:rPr>
        <w:t>setup</w:t>
      </w:r>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n"/>
          <w:rFonts w:ascii="Times New Roman" w:hAnsi="Times New Roman" w:cs="Times New Roman"/>
          <w:sz w:val="28"/>
          <w:szCs w:val="28"/>
        </w:rPr>
        <w:t>teardown</w:t>
      </w:r>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Форматирование результатов тестирования (Test result formatter)</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CppUnit - фреймворк для C++;</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DUnit - инструм</w:t>
      </w:r>
      <w:r w:rsidR="009F12DA">
        <w:rPr>
          <w:rFonts w:ascii="Times New Roman" w:hAnsi="Times New Roman" w:cs="Times New Roman"/>
          <w:sz w:val="28"/>
          <w:szCs w:val="28"/>
        </w:rPr>
        <w:t>ент для среды разработки Delphi;</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JUnit - библиотека для Java;</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phpUnit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3" w:name="_Toc514353641"/>
      <w:r w:rsidRPr="002D2373">
        <w:rPr>
          <w:b w:val="0"/>
        </w:rPr>
        <w:t>4.</w:t>
      </w:r>
      <w:r w:rsidRPr="002D2373">
        <w:t>2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r w:rsidRPr="002D2373">
        <w:rPr>
          <w:rStyle w:val="nn"/>
          <w:rFonts w:ascii="Times New Roman" w:hAnsi="Times New Roman" w:cs="Times New Roman"/>
          <w:b/>
          <w:bCs/>
          <w:sz w:val="28"/>
          <w:szCs w:val="28"/>
          <w:lang w:val="en-US"/>
        </w:rPr>
        <w:t>NUnit.Framework</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ExampleTestOfNUnit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AssertThrowsTests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typeof</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TestDelegate</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r w:rsidRPr="002D2373">
        <w:rPr>
          <w:rStyle w:val="n"/>
          <w:rFonts w:ascii="Times New Roman"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ArgumentException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UsingReturnValue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UsingConstraint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"MyParam"</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w:t>
      </w:r>
      <w:r w:rsidRPr="002D2373">
        <w:rPr>
          <w:rFonts w:ascii="Times New Roman" w:hAnsi="Times New Roman" w:cs="Times New Roman"/>
          <w:sz w:val="28"/>
          <w:szCs w:val="28"/>
        </w:rPr>
        <w:lastRenderedPageBreak/>
        <w:t xml:space="preserve">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4" w:name="_Toc514353642"/>
      <w:r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882EA3">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r w:rsidRPr="002D2373">
        <w:rPr>
          <w:rStyle w:val="nn"/>
          <w:rFonts w:ascii="Times New Roman" w:hAnsi="Times New Roman" w:cs="Times New Roman"/>
          <w:b/>
          <w:bCs/>
          <w:sz w:val="28"/>
          <w:szCs w:val="28"/>
          <w:lang w:val="en-US"/>
        </w:rPr>
        <w:t>Microsoft.VisualStudio.TestTools.UnitTesting</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MyTest</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9061E9">
        <w:lastRenderedPageBreak/>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6" w:name="_Toc514353644"/>
      <w:r>
        <w:t xml:space="preserve">5.1 </w:t>
      </w:r>
      <w:r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Как и CVS, SVN это бесплатная система контроля версий с открытым исходным кодом. С той лишь разницей, что распространяется под лицензией Apache,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В качестве недостатков SVN упоминаются сравнительно низкая скорость и нехватка распределенного управления версиями. Распределенный 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Встроенная поддержка во многие интегрированные средства разработки, такие как KDevelop, Zend Studio и многие другие</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доступа к репозиторию через Apache с использованием протокола WebDAV</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Существуют проблемы с переименованием файлов, если </w:t>
      </w:r>
      <w:r w:rsidRPr="009061E9">
        <w:rPr>
          <w:rFonts w:ascii="Times New Roman" w:hAnsi="Times New Roman" w:cs="Times New Roman"/>
          <w:sz w:val="28"/>
          <w:szCs w:val="28"/>
        </w:rPr>
        <w:lastRenderedPageBreak/>
        <w:t>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7" w:name="_Toc514353645"/>
      <w:r>
        <w:t xml:space="preserve">5.2 </w:t>
      </w:r>
      <w:r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 февраля 2002 года для разработки ядра Linux’а большинством программистов стала использоваться система контроля версий BitKeeper. Довольно долгое время с ней не возникало проблем, но в 2005 году Лари МакВоем (разработчик BitKeeper’а)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Разрабатывать проект масштаба Linux без мощной и надежной системы контроля версий – невозможно. Одним из кандидатов и наиболее подходящим проектом оказалась система контроля версий Monotine, но Торвальдса Линуса не устроила ее скорость работы. Так как особенности организации Monatone не позволяли значительно увеличить скорость обработки данных, то 3 апреля 2005 года Линус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Практически одновременно с Линусом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Linux’a.</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Можно долго обсуждать возможности Git’а,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(Secure Hash Algorithm 1)</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w:t>
      </w:r>
      <w:r w:rsidRPr="009061E9">
        <w:rPr>
          <w:rFonts w:ascii="Times New Roman" w:hAnsi="Times New Roman" w:cs="Times New Roman"/>
          <w:sz w:val="28"/>
          <w:szCs w:val="28"/>
        </w:rPr>
        <w:lastRenderedPageBreak/>
        <w:t>прошедшие проверку изменения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Множество графических оболочек, позволяющих быстро и качественно вести работы с Git’ом</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Универсальный сетевой доступ с использованием протоколов http, ftp, rsync, ssh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Возможные (но чрезвычайно низкие) совпадения хеш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9061E9" w:rsidP="009061E9">
      <w:pPr>
        <w:pStyle w:val="1"/>
      </w:pPr>
      <w:bookmarkStart w:id="48" w:name="_Toc514353646"/>
      <w:r>
        <w:lastRenderedPageBreak/>
        <w:t xml:space="preserve">5.3 </w:t>
      </w:r>
      <w:r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Распределенная система контроля версий Mercurial разрабатывалась Мэттом Макалом параллельно с системой контроля версий Git, созданной Торвальдсом Линусом.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Первоначально, она была создана для эффективного управления большими проектами под Linux’ом, а поэтому была ориентирована на быструю и надежную работу с большими репозиториями. На данный момент mercurial адаптирован для работы под Windows, Mac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(Secure Hash Algorithm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Так же, как и в git’е,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Набор команд - простой и интуитивно понятный, во многом схожий с командами subversion. Так же имеется ряд графических оболочек и доступ к репозиторию через веб-интерфейс. Немаловажным является и наличие утилит, позволяющих импортировать репозитории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работы с несколькими ветками проекта</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r w:rsidR="00DA0047">
        <w:rPr>
          <w:rFonts w:ascii="Times New Roman" w:hAnsi="Times New Roman" w:cs="Times New Roman"/>
          <w:sz w:val="28"/>
          <w:szCs w:val="28"/>
          <w:lang w:val="en-US"/>
        </w:rPr>
        <w:t>;</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w:t>
      </w:r>
      <w:r w:rsidRPr="009061E9">
        <w:rPr>
          <w:rFonts w:ascii="Times New Roman" w:hAnsi="Times New Roman" w:cs="Times New Roman"/>
          <w:sz w:val="28"/>
          <w:szCs w:val="28"/>
        </w:rPr>
        <w:lastRenderedPageBreak/>
        <w:t>поддержки версий, таких как CVS, Subversion, Git, Darcs, GNU Arch, Bazaar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Возможные (но чрезвычайно низкие) совпадения хеш - кода отличных по содержанию ревизий</w:t>
      </w:r>
      <w:r w:rsidR="00DA0047" w:rsidRPr="00DA0047">
        <w:rPr>
          <w:rFonts w:ascii="Times New Roman" w:hAnsi="Times New Roman" w:cs="Times New Roman"/>
          <w:sz w:val="28"/>
          <w:szCs w:val="28"/>
        </w:rPr>
        <w:t>;</w:t>
      </w:r>
    </w:p>
    <w:p w:rsidR="003C46F2" w:rsidRPr="00DA0047"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p>
    <w:p w:rsidR="00C05635" w:rsidRDefault="003C46F2" w:rsidP="00DA0047">
      <w:pPr>
        <w:pStyle w:val="1"/>
        <w:spacing w:line="360" w:lineRule="auto"/>
      </w:pPr>
      <w:r w:rsidRPr="00DA0047">
        <w:rPr>
          <w:rFonts w:cs="Times New Roman"/>
          <w:szCs w:val="28"/>
        </w:rPr>
        <w:br w:type="column"/>
      </w:r>
      <w:bookmarkStart w:id="49" w:name="_Toc514353647"/>
      <w:r w:rsidR="00C05635">
        <w:lastRenderedPageBreak/>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TestLink разработан и поддерживается Teamtest.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DA0047">
      <w:pPr>
        <w:pStyle w:val="1"/>
        <w:spacing w:before="0" w:after="0" w:line="360" w:lineRule="auto"/>
        <w:ind w:firstLine="708"/>
        <w:rPr>
          <w:rFonts w:cs="Times New Roman"/>
          <w:szCs w:val="28"/>
        </w:rPr>
      </w:pPr>
      <w:bookmarkStart w:id="50" w:name="_Toc514353648"/>
      <w:r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(html-формат)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Идентификатор тестового примера автоматически назначается TestLink и не может быть изменен пользователями. Этот идентификатор состоит из префикса Test Project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Каждый пользователь TestLink имеет назначенную роль, которая определяет доступные функции. Типы по умолчанию: Guest, Test Designer, Senior tester, Tester, Leader и Administrator,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Настройка пользовательского интерфейса с использованием шаблонов Smarty;</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(Mantis,</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Bugzilla,</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FogBugz,</w:t>
      </w:r>
      <w:r w:rsidRPr="009E2D3C">
        <w:rPr>
          <w:rFonts w:ascii="Times New Roman" w:hAnsi="Times New Roman" w:cs="Times New Roman"/>
          <w:sz w:val="28"/>
          <w:szCs w:val="28"/>
        </w:rPr>
        <w:t xml:space="preserve"> Redmine и другие).</w:t>
      </w:r>
    </w:p>
    <w:p w:rsidR="00A617D4" w:rsidRPr="004F2A81" w:rsidRDefault="003C46F2" w:rsidP="003C46F2">
      <w:pPr>
        <w:pStyle w:val="1"/>
      </w:pPr>
      <w:r>
        <w:rPr>
          <w:rFonts w:cs="Times New Roman"/>
          <w:szCs w:val="28"/>
        </w:rPr>
        <w:br w:type="column"/>
      </w:r>
      <w:bookmarkStart w:id="52" w:name="_Toc514353650"/>
      <w:r w:rsidR="00A617D4" w:rsidRPr="004F2A81">
        <w:lastRenderedPageBreak/>
        <w:t>7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Alpha.HMI, а также в HMI SCADA систем сторонних разработчиков - Genesis, InfinitySCADA, iFix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3" w:name="_Toc514353651"/>
      <w:r w:rsidRPr="004F2A81">
        <w:rPr>
          <w:rFonts w:cs="Times New Roman"/>
          <w:szCs w:val="28"/>
        </w:rPr>
        <w:t>7.1 Системные требования</w:t>
      </w:r>
      <w:bookmarkEnd w:id="53"/>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Операционная система: MS Windows 7/2008 Server</w:t>
      </w:r>
      <w:r w:rsid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Процессор: Intel Celeron 1.6 ГГц и выше</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Сетевой адаптер: Ethernet 10/100/1000 Мбит/с</w:t>
      </w:r>
      <w:r w:rsidR="00AE6C55" w:rsidRPr="00AE6C55">
        <w:rPr>
          <w:rFonts w:ascii="Times New Roman" w:hAnsi="Times New Roman" w:cs="Times New Roman"/>
          <w:sz w:val="28"/>
          <w:szCs w:val="28"/>
        </w:rPr>
        <w:t>;</w:t>
      </w:r>
    </w:p>
    <w:p w:rsidR="00A617D4" w:rsidRPr="004F2A81" w:rsidRDefault="00A617D4" w:rsidP="00C001BC">
      <w:pPr>
        <w:pStyle w:val="1"/>
        <w:numPr>
          <w:ilvl w:val="1"/>
          <w:numId w:val="12"/>
        </w:numPr>
        <w:spacing w:before="0" w:after="0" w:line="360" w:lineRule="auto"/>
        <w:rPr>
          <w:rFonts w:cs="Times New Roman"/>
          <w:szCs w:val="28"/>
        </w:rPr>
      </w:pPr>
      <w:bookmarkStart w:id="54" w:name="_Toc514353652"/>
      <w:r w:rsidRPr="004F2A81">
        <w:rPr>
          <w:rFonts w:cs="Times New Roman"/>
          <w:szCs w:val="28"/>
        </w:rPr>
        <w:t>Варианты запуска Alpha.Alarms</w:t>
      </w:r>
      <w:bookmarkEnd w:id="54"/>
    </w:p>
    <w:p w:rsidR="00A617D4" w:rsidRPr="004F2A81" w:rsidRDefault="00A617D4" w:rsidP="00C001BC">
      <w:pPr>
        <w:pStyle w:val="1"/>
        <w:spacing w:before="0" w:after="0" w:line="360" w:lineRule="auto"/>
        <w:rPr>
          <w:rFonts w:cs="Times New Roman"/>
          <w:szCs w:val="28"/>
        </w:rPr>
      </w:pPr>
      <w:bookmarkStart w:id="55" w:name="_Toc514353653"/>
      <w:r w:rsidRPr="004F2A81">
        <w:rPr>
          <w:rFonts w:cs="Times New Roman"/>
          <w:szCs w:val="28"/>
        </w:rPr>
        <w:t>7.2.1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Automiq → Alpha.Alarms → Alpha.Alarms или Пуск → Все программы → Automiq → Alpha.Alarms → Alpha.Alarms (x64). Аналогичное действие можно выполнить, запустив исполняемый файл Alpha.Alarms.App.exe, </w:t>
      </w:r>
      <w:r w:rsidRPr="004F2A81">
        <w:rPr>
          <w:rFonts w:ascii="Times New Roman" w:hAnsi="Times New Roman" w:cs="Times New Roman"/>
          <w:sz w:val="28"/>
          <w:szCs w:val="28"/>
        </w:rPr>
        <w:lastRenderedPageBreak/>
        <w:t>расположенный в папке C:\Program Files (x86)\Automiq\Alpha.Alarms или C:\Program files\Automiq\Alpha.Alarms.</w:t>
      </w:r>
    </w:p>
    <w:p w:rsidR="00A617D4" w:rsidRPr="004F2A81" w:rsidRDefault="00A617D4" w:rsidP="00C001BC">
      <w:pPr>
        <w:pStyle w:val="1"/>
        <w:spacing w:before="0" w:after="0" w:line="360" w:lineRule="auto"/>
        <w:rPr>
          <w:rFonts w:cs="Times New Roman"/>
          <w:szCs w:val="28"/>
        </w:rPr>
      </w:pPr>
      <w:bookmarkStart w:id="56" w:name="_Toc514353654"/>
      <w:r w:rsidRPr="004F2A81">
        <w:rPr>
          <w:rFonts w:cs="Times New Roman"/>
          <w:szCs w:val="28"/>
        </w:rPr>
        <w:t>7.2.2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cmd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7" w:name="_Toc514353655"/>
      <w:r w:rsidRPr="004F2A81">
        <w:rPr>
          <w:rFonts w:cs="Times New Roman"/>
          <w:szCs w:val="28"/>
        </w:rPr>
        <w:t>7.2.3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Alpha.HMI, а также HMI SCADA систем сторонних разработчиков - Genesis, InfinitySCADA, iFix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8" w:name="_Toc514353656"/>
      <w:r w:rsidRPr="004F2A81">
        <w:rPr>
          <w:rFonts w:cs="Times New Roman"/>
          <w:szCs w:val="28"/>
        </w:rPr>
        <w:t>7.3 Просмотр событий</w:t>
      </w:r>
      <w:bookmarkEnd w:id="58"/>
    </w:p>
    <w:p w:rsidR="00A617D4" w:rsidRPr="004F2A81" w:rsidRDefault="00A617D4" w:rsidP="00C001BC">
      <w:pPr>
        <w:pStyle w:val="1"/>
        <w:spacing w:before="0" w:after="0" w:line="360" w:lineRule="auto"/>
        <w:rPr>
          <w:rFonts w:cs="Times New Roman"/>
          <w:szCs w:val="28"/>
        </w:rPr>
      </w:pPr>
      <w:bookmarkStart w:id="59" w:name="_Toc514353657"/>
      <w:r w:rsidRPr="004F2A81">
        <w:rPr>
          <w:rFonts w:cs="Times New Roman"/>
          <w:szCs w:val="28"/>
        </w:rPr>
        <w:t>7.3.1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AE6C5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AE6C5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AE6C5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0" w:name="_Toc514353658"/>
      <w:r w:rsidRPr="004F2A81">
        <w:rPr>
          <w:rFonts w:cs="Times New Roman"/>
          <w:szCs w:val="28"/>
        </w:rPr>
        <w:t>7.3.1.1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lastRenderedPageBreak/>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1" w:name="_Toc514353659"/>
      <w:r w:rsidRPr="004F2A81">
        <w:rPr>
          <w:rFonts w:cs="Times New Roman"/>
          <w:szCs w:val="28"/>
        </w:rPr>
        <w:t>7.3.1.2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2" w:name="_Toc514353660"/>
      <w:r w:rsidRPr="004F2A81">
        <w:rPr>
          <w:rFonts w:cs="Times New Roman"/>
          <w:szCs w:val="28"/>
        </w:rPr>
        <w:t>7.3.1.3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3" w:name="_Toc514353661"/>
      <w:r w:rsidRPr="004F2A81">
        <w:rPr>
          <w:rFonts w:cs="Times New Roman"/>
          <w:szCs w:val="28"/>
        </w:rPr>
        <w:t>7.3.2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4"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r w:rsidRPr="00B50B58">
        <w:rPr>
          <w:rStyle w:val="a7"/>
          <w:b w:val="0"/>
          <w:color w:val="212121"/>
          <w:sz w:val="28"/>
          <w:szCs w:val="28"/>
        </w:rPr>
        <w:t>hh</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r w:rsidRPr="004F2A81">
        <w:rPr>
          <w:color w:val="212121"/>
          <w:sz w:val="28"/>
          <w:szCs w:val="28"/>
        </w:rPr>
        <w:t>.</w:t>
      </w:r>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lastRenderedPageBreak/>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5" w:name="_Toc514353663"/>
      <w:r w:rsidRPr="004F2A81">
        <w:rPr>
          <w:rFonts w:cs="Times New Roman"/>
          <w:szCs w:val="28"/>
        </w:rPr>
        <w:t>7.4 Дополнительные возможности</w:t>
      </w:r>
      <w:bookmarkEnd w:id="65"/>
    </w:p>
    <w:p w:rsidR="004F2A81" w:rsidRPr="004F2A81" w:rsidRDefault="004F2A81" w:rsidP="00C001BC">
      <w:pPr>
        <w:pStyle w:val="1"/>
        <w:spacing w:before="0" w:after="0" w:line="360" w:lineRule="auto"/>
        <w:rPr>
          <w:rFonts w:cs="Times New Roman"/>
          <w:szCs w:val="28"/>
        </w:rPr>
      </w:pPr>
      <w:bookmarkStart w:id="66" w:name="_Toc514353664"/>
      <w:r w:rsidRPr="004F2A81">
        <w:rPr>
          <w:rFonts w:cs="Times New Roman"/>
          <w:szCs w:val="28"/>
        </w:rPr>
        <w:t>7.4.1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bookmarkStart w:id="67" w:name="_GoBack"/>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8" w:name="_Toc514353665"/>
      <w:r w:rsidRPr="004F2A81">
        <w:rPr>
          <w:rFonts w:cs="Times New Roman"/>
          <w:szCs w:val="28"/>
        </w:rPr>
        <w:t>7.4.2 Сохранение данных в табличный файл</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 xml:space="preserve">В приложении предусмотрена возможность сохранения сообщений, отображаемых в главном окне, </w:t>
      </w:r>
      <w:bookmarkEnd w:id="67"/>
      <w:r w:rsidRPr="004F2A81">
        <w:rPr>
          <w:color w:val="212121"/>
          <w:sz w:val="28"/>
          <w:szCs w:val="28"/>
        </w:rPr>
        <w:t xml:space="preserve">в табличный файл. Для сохранения </w:t>
      </w:r>
      <w:r w:rsidRPr="004F2A81">
        <w:rPr>
          <w:color w:val="212121"/>
          <w:sz w:val="28"/>
          <w:szCs w:val="28"/>
        </w:rPr>
        <w:lastRenderedPageBreak/>
        <w:t>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9" w:name="_Toc514353666"/>
      <w:r w:rsidRPr="004F2A81">
        <w:rPr>
          <w:rFonts w:cs="Times New Roman"/>
          <w:szCs w:val="28"/>
        </w:rPr>
        <w:t>7.4.3 Импорт/экспорт предустановленных фильтров</w:t>
      </w:r>
      <w:bookmarkEnd w:id="69"/>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70" w:name="_Toc514353667"/>
      <w:r w:rsidRPr="004F2A81">
        <w:rPr>
          <w:rFonts w:cs="Times New Roman"/>
          <w:szCs w:val="28"/>
        </w:rPr>
        <w:lastRenderedPageBreak/>
        <w:t>7.4.4 Настройка папок для импорта и экспорта</w:t>
      </w:r>
      <w:bookmarkEnd w:id="70"/>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1" w:name="_Toc514353668"/>
      <w:r w:rsidRPr="004F2A81">
        <w:rPr>
          <w:rFonts w:cs="Times New Roman"/>
          <w:szCs w:val="28"/>
        </w:rPr>
        <w:t>7.4.5 Печать таблицы событий</w:t>
      </w:r>
      <w:bookmarkEnd w:id="71"/>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lastRenderedPageBreak/>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2" w:name="_Toc514353669"/>
      <w:r w:rsidRPr="004F2A81">
        <w:rPr>
          <w:rFonts w:cs="Times New Roman"/>
          <w:szCs w:val="28"/>
        </w:rPr>
        <w:t>7.4.6 Откат настроек приложения</w:t>
      </w:r>
      <w:bookmarkEnd w:id="72"/>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4F2A81" w:rsidRPr="00F93804" w:rsidRDefault="00F93804" w:rsidP="00F93804">
      <w:pPr>
        <w:pStyle w:val="1"/>
      </w:pPr>
      <w:bookmarkStart w:id="73" w:name="_Toc514353670"/>
      <w:r>
        <w:lastRenderedPageBreak/>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4" w:name="_Toc514353671"/>
      <w:r w:rsidRPr="00F93804">
        <w:rPr>
          <w:rFonts w:eastAsia="Times New Roman"/>
          <w:lang w:eastAsia="ru-RU"/>
        </w:rPr>
        <w:lastRenderedPageBreak/>
        <w:t>Список использованной литературы</w:t>
      </w:r>
      <w:bookmarkEnd w:id="74"/>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Certifying Software Testers Worldwide</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CI definition and its main goal.</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w:t>
      </w:r>
      <w:r w:rsidR="009458BE" w:rsidRPr="00AA5BF3">
        <w:rPr>
          <w:rFonts w:ascii="Times New Roman" w:hAnsi="Times New Roman"/>
          <w:sz w:val="28"/>
        </w:rPr>
        <w:lastRenderedPageBreak/>
        <w:t xml:space="preserve">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Testing_Framework.</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242" w:rsidRDefault="00F00242" w:rsidP="000E4BB3">
      <w:pPr>
        <w:spacing w:after="0" w:line="240" w:lineRule="auto"/>
      </w:pPr>
      <w:r>
        <w:separator/>
      </w:r>
    </w:p>
  </w:endnote>
  <w:endnote w:type="continuationSeparator" w:id="0">
    <w:p w:rsidR="00F00242" w:rsidRDefault="00F00242"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242" w:rsidRDefault="00F00242" w:rsidP="000E4BB3">
      <w:pPr>
        <w:spacing w:after="0" w:line="240" w:lineRule="auto"/>
      </w:pPr>
      <w:r>
        <w:separator/>
      </w:r>
    </w:p>
  </w:footnote>
  <w:footnote w:type="continuationSeparator" w:id="0">
    <w:p w:rsidR="00F00242" w:rsidRDefault="00F00242"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DA0047" w:rsidRPr="000E4BB3" w:rsidRDefault="00DA0047">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AE6C55">
          <w:rPr>
            <w:rFonts w:ascii="Times New Roman" w:hAnsi="Times New Roman" w:cs="Times New Roman"/>
            <w:noProof/>
            <w:sz w:val="28"/>
            <w:szCs w:val="28"/>
          </w:rPr>
          <w:t>62</w:t>
        </w:r>
        <w:r w:rsidRPr="000E4BB3">
          <w:rPr>
            <w:rFonts w:ascii="Times New Roman" w:hAnsi="Times New Roman" w:cs="Times New Roman"/>
            <w:sz w:val="28"/>
            <w:szCs w:val="28"/>
          </w:rPr>
          <w:fldChar w:fldCharType="end"/>
        </w:r>
      </w:p>
    </w:sdtContent>
  </w:sdt>
  <w:p w:rsidR="00DA0047" w:rsidRDefault="00DA0047">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2A00AF06"/>
    <w:lvl w:ilvl="0" w:tplc="A792FC42">
      <w:start w:val="1"/>
      <w:numFmt w:val="lowerLetter"/>
      <w:suff w:val="space"/>
      <w:lvlText w:val="%1)"/>
      <w:lvlJc w:val="left"/>
      <w:pPr>
        <w:ind w:left="72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8"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5"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8"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9"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6"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8" w15:restartNumberingAfterBreak="0">
    <w:nsid w:val="58A33886"/>
    <w:multiLevelType w:val="hybridMultilevel"/>
    <w:tmpl w:val="8F6C84F2"/>
    <w:lvl w:ilvl="0" w:tplc="49385D80">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9"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3"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69F70665"/>
    <w:multiLevelType w:val="multilevel"/>
    <w:tmpl w:val="E5CEAD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8"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2"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3"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7"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6"/>
  </w:num>
  <w:num w:numId="3">
    <w:abstractNumId w:val="24"/>
  </w:num>
  <w:num w:numId="4">
    <w:abstractNumId w:val="38"/>
  </w:num>
  <w:num w:numId="5">
    <w:abstractNumId w:val="54"/>
  </w:num>
  <w:num w:numId="6">
    <w:abstractNumId w:val="30"/>
  </w:num>
  <w:num w:numId="7">
    <w:abstractNumId w:val="55"/>
  </w:num>
  <w:num w:numId="8">
    <w:abstractNumId w:val="43"/>
  </w:num>
  <w:num w:numId="9">
    <w:abstractNumId w:val="27"/>
  </w:num>
  <w:num w:numId="10">
    <w:abstractNumId w:val="48"/>
  </w:num>
  <w:num w:numId="11">
    <w:abstractNumId w:val="3"/>
  </w:num>
  <w:num w:numId="12">
    <w:abstractNumId w:val="21"/>
  </w:num>
  <w:num w:numId="13">
    <w:abstractNumId w:val="22"/>
  </w:num>
  <w:num w:numId="14">
    <w:abstractNumId w:val="4"/>
  </w:num>
  <w:num w:numId="15">
    <w:abstractNumId w:val="6"/>
  </w:num>
  <w:num w:numId="16">
    <w:abstractNumId w:val="5"/>
  </w:num>
  <w:num w:numId="17">
    <w:abstractNumId w:val="49"/>
  </w:num>
  <w:num w:numId="18">
    <w:abstractNumId w:val="8"/>
  </w:num>
  <w:num w:numId="19">
    <w:abstractNumId w:val="33"/>
  </w:num>
  <w:num w:numId="20">
    <w:abstractNumId w:val="0"/>
  </w:num>
  <w:num w:numId="21">
    <w:abstractNumId w:val="39"/>
  </w:num>
  <w:num w:numId="22">
    <w:abstractNumId w:val="53"/>
  </w:num>
  <w:num w:numId="23">
    <w:abstractNumId w:val="50"/>
  </w:num>
  <w:num w:numId="24">
    <w:abstractNumId w:val="11"/>
  </w:num>
  <w:num w:numId="25">
    <w:abstractNumId w:val="34"/>
  </w:num>
  <w:num w:numId="26">
    <w:abstractNumId w:val="18"/>
  </w:num>
  <w:num w:numId="27">
    <w:abstractNumId w:val="56"/>
  </w:num>
  <w:num w:numId="28">
    <w:abstractNumId w:val="45"/>
  </w:num>
  <w:num w:numId="29">
    <w:abstractNumId w:val="47"/>
  </w:num>
  <w:num w:numId="30">
    <w:abstractNumId w:val="42"/>
  </w:num>
  <w:num w:numId="31">
    <w:abstractNumId w:val="17"/>
  </w:num>
  <w:num w:numId="32">
    <w:abstractNumId w:val="37"/>
  </w:num>
  <w:num w:numId="33">
    <w:abstractNumId w:val="35"/>
  </w:num>
  <w:num w:numId="34">
    <w:abstractNumId w:val="28"/>
  </w:num>
  <w:num w:numId="35">
    <w:abstractNumId w:val="14"/>
  </w:num>
  <w:num w:numId="36">
    <w:abstractNumId w:val="7"/>
  </w:num>
  <w:num w:numId="37">
    <w:abstractNumId w:val="15"/>
  </w:num>
  <w:num w:numId="38">
    <w:abstractNumId w:val="20"/>
  </w:num>
  <w:num w:numId="39">
    <w:abstractNumId w:val="52"/>
  </w:num>
  <w:num w:numId="40">
    <w:abstractNumId w:val="9"/>
  </w:num>
  <w:num w:numId="41">
    <w:abstractNumId w:val="41"/>
  </w:num>
  <w:num w:numId="42">
    <w:abstractNumId w:val="16"/>
  </w:num>
  <w:num w:numId="43">
    <w:abstractNumId w:val="13"/>
  </w:num>
  <w:num w:numId="44">
    <w:abstractNumId w:val="44"/>
  </w:num>
  <w:num w:numId="45">
    <w:abstractNumId w:val="32"/>
  </w:num>
  <w:num w:numId="46">
    <w:abstractNumId w:val="26"/>
  </w:num>
  <w:num w:numId="47">
    <w:abstractNumId w:val="31"/>
  </w:num>
  <w:num w:numId="48">
    <w:abstractNumId w:val="57"/>
  </w:num>
  <w:num w:numId="49">
    <w:abstractNumId w:val="2"/>
  </w:num>
  <w:num w:numId="50">
    <w:abstractNumId w:val="12"/>
  </w:num>
  <w:num w:numId="51">
    <w:abstractNumId w:val="29"/>
  </w:num>
  <w:num w:numId="52">
    <w:abstractNumId w:val="46"/>
  </w:num>
  <w:num w:numId="53">
    <w:abstractNumId w:val="46"/>
    <w:lvlOverride w:ilvl="0">
      <w:startOverride w:val="2"/>
    </w:lvlOverride>
  </w:num>
  <w:num w:numId="54">
    <w:abstractNumId w:val="46"/>
    <w:lvlOverride w:ilvl="0">
      <w:startOverride w:val="3"/>
    </w:lvlOverride>
  </w:num>
  <w:num w:numId="55">
    <w:abstractNumId w:val="19"/>
  </w:num>
  <w:num w:numId="56">
    <w:abstractNumId w:val="19"/>
    <w:lvlOverride w:ilvl="0">
      <w:startOverride w:val="2"/>
    </w:lvlOverride>
  </w:num>
  <w:num w:numId="57">
    <w:abstractNumId w:val="19"/>
    <w:lvlOverride w:ilvl="0">
      <w:startOverride w:val="3"/>
    </w:lvlOverride>
  </w:num>
  <w:num w:numId="58">
    <w:abstractNumId w:val="19"/>
    <w:lvlOverride w:ilvl="0">
      <w:startOverride w:val="4"/>
    </w:lvlOverride>
  </w:num>
  <w:num w:numId="59">
    <w:abstractNumId w:val="10"/>
  </w:num>
  <w:num w:numId="60">
    <w:abstractNumId w:val="10"/>
    <w:lvlOverride w:ilvl="0">
      <w:startOverride w:val="2"/>
    </w:lvlOverride>
  </w:num>
  <w:num w:numId="61">
    <w:abstractNumId w:val="1"/>
  </w:num>
  <w:num w:numId="62">
    <w:abstractNumId w:val="1"/>
    <w:lvlOverride w:ilvl="0">
      <w:startOverride w:val="2"/>
    </w:lvlOverride>
  </w:num>
  <w:num w:numId="63">
    <w:abstractNumId w:val="23"/>
  </w:num>
  <w:num w:numId="64">
    <w:abstractNumId w:val="23"/>
    <w:lvlOverride w:ilvl="0">
      <w:startOverride w:val="2"/>
    </w:lvlOverride>
  </w:num>
  <w:num w:numId="65">
    <w:abstractNumId w:val="51"/>
  </w:num>
  <w:num w:numId="66">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F6"/>
    <w:rsid w:val="000002C8"/>
    <w:rsid w:val="00085C66"/>
    <w:rsid w:val="000C52FA"/>
    <w:rsid w:val="000C5B58"/>
    <w:rsid w:val="000E4BB3"/>
    <w:rsid w:val="001071FC"/>
    <w:rsid w:val="00116B8A"/>
    <w:rsid w:val="001657F7"/>
    <w:rsid w:val="001974AF"/>
    <w:rsid w:val="001E438C"/>
    <w:rsid w:val="00244497"/>
    <w:rsid w:val="002779E8"/>
    <w:rsid w:val="002D2373"/>
    <w:rsid w:val="002D57F6"/>
    <w:rsid w:val="00345F0E"/>
    <w:rsid w:val="0037751D"/>
    <w:rsid w:val="003809C5"/>
    <w:rsid w:val="00387345"/>
    <w:rsid w:val="003B639E"/>
    <w:rsid w:val="003C46F2"/>
    <w:rsid w:val="003D61E4"/>
    <w:rsid w:val="003E23B2"/>
    <w:rsid w:val="003E4E6B"/>
    <w:rsid w:val="003E5CCD"/>
    <w:rsid w:val="00487851"/>
    <w:rsid w:val="00495933"/>
    <w:rsid w:val="004E73AD"/>
    <w:rsid w:val="004E7A86"/>
    <w:rsid w:val="004F2A81"/>
    <w:rsid w:val="004F2F73"/>
    <w:rsid w:val="00526BBD"/>
    <w:rsid w:val="005B2FF3"/>
    <w:rsid w:val="005B4AAB"/>
    <w:rsid w:val="006C75D0"/>
    <w:rsid w:val="006F300F"/>
    <w:rsid w:val="006F3E61"/>
    <w:rsid w:val="0070076D"/>
    <w:rsid w:val="00745ADF"/>
    <w:rsid w:val="007473F4"/>
    <w:rsid w:val="00764185"/>
    <w:rsid w:val="007C52A0"/>
    <w:rsid w:val="007D66DB"/>
    <w:rsid w:val="007E5070"/>
    <w:rsid w:val="00882EA3"/>
    <w:rsid w:val="00895317"/>
    <w:rsid w:val="008D4AE0"/>
    <w:rsid w:val="00902EEA"/>
    <w:rsid w:val="009061E9"/>
    <w:rsid w:val="00927F26"/>
    <w:rsid w:val="0093594C"/>
    <w:rsid w:val="009458BE"/>
    <w:rsid w:val="00970CFD"/>
    <w:rsid w:val="009C2FC4"/>
    <w:rsid w:val="009E2D3C"/>
    <w:rsid w:val="009F12DA"/>
    <w:rsid w:val="009F6349"/>
    <w:rsid w:val="00A35F73"/>
    <w:rsid w:val="00A40AED"/>
    <w:rsid w:val="00A52F32"/>
    <w:rsid w:val="00A617D4"/>
    <w:rsid w:val="00A6228A"/>
    <w:rsid w:val="00AB3CA0"/>
    <w:rsid w:val="00AC661B"/>
    <w:rsid w:val="00AD3B02"/>
    <w:rsid w:val="00AE6C55"/>
    <w:rsid w:val="00B50B58"/>
    <w:rsid w:val="00B776B6"/>
    <w:rsid w:val="00C001BC"/>
    <w:rsid w:val="00C05635"/>
    <w:rsid w:val="00C22873"/>
    <w:rsid w:val="00C230F4"/>
    <w:rsid w:val="00C32D85"/>
    <w:rsid w:val="00C42D96"/>
    <w:rsid w:val="00C45767"/>
    <w:rsid w:val="00CC3EF0"/>
    <w:rsid w:val="00CD6068"/>
    <w:rsid w:val="00CD715E"/>
    <w:rsid w:val="00CD71FD"/>
    <w:rsid w:val="00D17751"/>
    <w:rsid w:val="00DA0047"/>
    <w:rsid w:val="00DA5032"/>
    <w:rsid w:val="00E30251"/>
    <w:rsid w:val="00E67813"/>
    <w:rsid w:val="00EA3E28"/>
    <w:rsid w:val="00F00242"/>
    <w:rsid w:val="00F26859"/>
    <w:rsid w:val="00F35D91"/>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BBEF"/>
  <w15:docId w15:val="{435F7194-A8D6-4B44-B700-98F9BD50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37576-7706-4686-8D56-66E2380B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64</Pages>
  <Words>13442</Words>
  <Characters>76620</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Sergey</cp:lastModifiedBy>
  <cp:revision>52</cp:revision>
  <dcterms:created xsi:type="dcterms:W3CDTF">2018-05-17T11:48:00Z</dcterms:created>
  <dcterms:modified xsi:type="dcterms:W3CDTF">2018-06-14T07:44:00Z</dcterms:modified>
</cp:coreProperties>
</file>