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a"/>
        <w:jc w:val="center"/>
        <w:rPr>
          <w:lang w:val="ru-RU"/>
        </w:rPr>
        <w:keepNext/>
      </w:pPr>
      <w:r>
        <w:rPr>
          <w:rFonts w:ascii="Times New Roman" w:hAnsi="Times New Roman" w:eastAsia="Times New Roman"/>
          <w:color w:val="000000"/>
          <w:b/>
        </w:rPr>
        <w:t xml:space="preserve">Лабораторная работа 2</w:t>
        <w:br/>
        <w:t xml:space="preserve">Мультимодальные модели для прогноза движения акций</w:t>
      </w:r>
    </w:p>
    <w:p>
      <w:pPr>
        <w:jc w:val="both"/>
        <w:rPr>
          <w:lang w:val="ru-RU"/>
        </w:rPr>
      </w:pPr>
      <w:r>
        <w:rPr>
          <w:rFonts w:ascii="Times New Roman" w:hAnsi="Times New Roman" w:eastAsia="Times New Roman"/>
          <w:color w:val="000000"/>
        </w:rPr>
        <w:t xml:space="preserve">Сравниваются восемь моделей и схем обработки сообщений, котировок и графиков. Подтверждённого выигрыша от объединения входов не получено. По заданному правилу выбран числовой baseline; на отдельных компаниях его Macro-F1 составил 0,417. Эксперимент выполнен 8 октября 2026 года.</w:t>
      </w:r>
    </w:p>
    <w:p>
      <w:pPr>
        <w:pStyle w:val="21"/>
        <w:spacing w:before="80"/>
      </w:pPr>
      <w:r>
        <w:rPr>
          <w:rFonts w:ascii="Times New Roman" w:hAnsi="Times New Roman" w:eastAsia="Times New Roman"/>
          <w:color w:val="000000"/>
          <w:b/>
        </w:rPr>
        <w:t xml:space="preserve">Цель и постановка задачи</w:t>
      </w:r>
    </w:p>
    <w:p>
      <w:pPr>
        <w:jc w:val="both"/>
        <w:rPr>
          <w:lang w:val="ru-RU"/>
        </w:rPr>
      </w:pPr>
      <w:r>
        <w:rPr>
          <w:rFonts w:ascii="Times New Roman" w:hAnsi="Times New Roman" w:eastAsia="Times New Roman"/>
          <w:color w:val="000000"/>
        </w:rPr>
        <w:t xml:space="preserve">Цель работы - проверить, улучшает ли совместная обработка текста, числового ряда и изображения прогноз направления движения акции. Один объект соответствует компании и торговой сессии. По сообщениям о компании и последним 20 торговым сессиям требуется предсказать рост или падение скорректированной цены закрытия в следующую сессию. График построен по той же истории цен, поэтому он является дополнительным представлением котировок.</w:t>
      </w:r>
    </w:p>
    <w:p>
      <w:pPr>
        <w:pStyle w:val="21"/>
        <w:spacing w:before="80"/>
      </w:pPr>
      <w:r>
        <w:rPr>
          <w:rFonts w:ascii="Times New Roman" w:hAnsi="Times New Roman" w:eastAsia="Times New Roman"/>
          <w:color w:val="000000"/>
          <w:b/>
        </w:rPr>
        <w:t xml:space="preserve">Обзор пяти научных работ</w:t>
      </w:r>
    </w:p>
    <w:p>
      <w:pPr>
        <w:jc w:val="both"/>
        <w:rPr>
          <w:lang w:val="ru-RU"/>
        </w:rPr>
      </w:pPr>
      <w:r>
        <w:rPr>
          <w:rFonts w:ascii="Times New Roman" w:hAnsi="Times New Roman" w:eastAsia="Times New Roman"/>
          <w:color w:val="000000"/>
        </w:rPr>
        <w:t xml:space="preserve">1. Xu и Cohen [1] предложили StockNet для совместного анализа сообщений и истории цен. Вероятностная модель учитывает шум и временные зависимости; оценка проводится по Accuracy и MCC. Работа даёт открытый набор сообщений и котировок, использованный в лабораторной работе. Здесь применяется собственное разбиение и другие модели. Результат авторов не переносится напрямую на выбранные компании и периоды.</w:t>
      </w:r>
    </w:p>
    <w:p>
      <w:pPr>
        <w:jc w:val="both"/>
        <w:rPr>
          <w:lang w:val="ru-RU"/>
        </w:rPr>
      </w:pPr>
      <w:r>
        <w:rPr>
          <w:rFonts w:ascii="Times New Roman" w:hAnsi="Times New Roman" w:eastAsia="Times New Roman"/>
          <w:color w:val="000000"/>
        </w:rPr>
        <w:t xml:space="preserve">2. Araci [2] исследовал FinBERT для финансовой тональности на Financial PhraseBank и FiQA. Предобучение на финансовых текстах помогает учитывать специальную лексику; качество проверяется по Accuracy, F1 и показателям регрессии. В эксперименте FinBERT формирует текстовые признаки для отдельного классификатора. Тональность сообщения не принимается за направление цены. Публикация представлена как препринт; тексты StockNet отличаются от исходных предложений этих наборов.</w:t>
      </w:r>
    </w:p>
    <w:p>
      <w:pPr>
        <w:jc w:val="both"/>
        <w:rPr>
          <w:lang w:val="ru-RU"/>
        </w:rPr>
      </w:pPr>
      <w:r>
        <w:rPr>
          <w:rFonts w:ascii="Times New Roman" w:hAnsi="Times New Roman" w:eastAsia="Times New Roman"/>
          <w:color w:val="000000"/>
        </w:rPr>
        <w:t xml:space="preserve">3. Radford и соавторы [3] представили CLIP, который сближает представления соответствующих изображений и текстов. Модель обучена на парах изображение-текст и проверена на переносе в визуальную классификацию, включая zero-shot. В лабораторной работе используется её визуальный энкодер для свечных графиков. Основная метрика авторских классификационных тестов - Accuracy. CLIP не обучалась специально прогнозировать финансовые ряды, поэтому полезность такого представления проверяется экспериментально.</w:t>
      </w:r>
    </w:p>
    <w:p>
      <w:pPr>
        <w:jc w:val="both"/>
        <w:rPr>
          <w:lang w:val="ru-RU"/>
        </w:rPr>
      </w:pPr>
      <w:r>
        <w:rPr>
          <w:rFonts w:ascii="Times New Roman" w:hAnsi="Times New Roman" w:eastAsia="Times New Roman"/>
          <w:color w:val="000000"/>
        </w:rPr>
        <w:t xml:space="preserve">4. Bhatia и соавторы [4] предложили семейство FinTral на основе Mistral-7B для финансовых задач с текстом, числами, таблицами и изображениями. Доменное обучение и настройка по инструкциям оцениваются на девяти задачах и 25 наборах данных. Работа обосновывает сопоставление способов интеграции входов; набор метрик зависит от задачи. Авторские показатели относятся к их тестам. Репозиторий проекта содержит описание без готовой реализации, поэтому FinTral служит методической основой, а её обучение не воспроизводится.</w:t>
      </w:r>
    </w:p>
    <w:p>
      <w:pPr>
        <w:jc w:val="both"/>
        <w:rPr>
          <w:lang w:val="ru-RU"/>
        </w:rPr>
      </w:pPr>
      <w:r>
        <w:rPr>
          <w:rFonts w:ascii="Times New Roman" w:hAnsi="Times New Roman" w:eastAsia="Times New Roman"/>
          <w:color w:val="000000"/>
        </w:rPr>
        <w:t xml:space="preserve">5. Bai и соавторы [5] описали Qwen2.5-VL для понимания изображений, документов и графиков. Визуальные признаки передаются языковой модели; качество проверяется на ChartQA, DocVQA и других тестах. Открытые веса позволяют использовать Qwen2.5-VL-7B как участника сравнения. В лабораторной работе она получает сообщения, числовую таблицу и график в режиме zero-shot. Способность читать построенную диаграмму сама по себе не доказывает способность предсказывать будущую цену.</w:t>
      </w:r>
    </w:p>
    <w:p>
      <w:pPr>
        <w:pStyle w:val="21"/>
        <w:spacing w:before="80"/>
      </w:pPr>
      <w:r>
        <w:rPr>
          <w:rFonts w:ascii="Times New Roman" w:hAnsi="Times New Roman" w:eastAsia="Times New Roman"/>
          <w:color w:val="000000"/>
          <w:b/>
        </w:rPr>
        <w:t xml:space="preserve">Гипотеза</w:t>
      </w:r>
    </w:p>
    <w:p>
      <w:pPr>
        <w:jc w:val="both"/>
        <w:rPr>
          <w:lang w:val="ru-RU"/>
        </w:rPr>
      </w:pPr>
      <w:r>
        <w:rPr>
          <w:rFonts w:ascii="Times New Roman" w:hAnsi="Times New Roman" w:eastAsia="Times New Roman"/>
          <w:color w:val="000000"/>
        </w:rPr>
        <w:t xml:space="preserve">Совместное использование сообщений и прошлых котировок может повысить Macro-F1 относительно лучшего unimodal baseline. Проверяется также, оправдывает ли качество увеличение времени обработки. Визуальное представление не добавляет независимый источник сведений, поскольку график построен по тем же котировкам.</w:t>
      </w:r>
    </w:p>
    <w:p>
      <w:pPr>
        <w:pStyle w:val="21"/>
        <w:spacing w:before="80"/>
      </w:pPr>
      <w:r>
        <w:rPr>
          <w:rFonts w:ascii="Times New Roman" w:hAnsi="Times New Roman" w:eastAsia="Times New Roman"/>
          <w:color w:val="000000"/>
          <w:b/>
        </w:rPr>
        <w:t xml:space="preserve">Данные и синхронизация</w:t>
      </w:r>
    </w:p>
    <w:p>
      <w:pPr>
        <w:jc w:val="both"/>
        <w:rPr>
          <w:lang w:val="ru-RU"/>
        </w:rPr>
      </w:pPr>
      <w:r>
        <w:rPr>
          <w:rFonts w:ascii="Times New Roman" w:hAnsi="Times New Roman" w:eastAsia="Times New Roman"/>
          <w:color w:val="000000"/>
        </w:rPr>
        <w:t xml:space="preserve">Использован открытый архив StockNet [6]. Для восьми компаний прочитаны 34 689 сообщений Twitter и 10 064 строки котировок Yahoo Finance. После удаления коротких текстов и точных повторов осталось 23 022 сообщения. В пределах периода подготовки использованы 5 656 строк котировок. Это два компонента одного набора, а не независимые корпуса.</w:t>
      </w:r>
    </w:p>
    <w:p>
      <w:pPr>
        <w:jc w:val="both"/>
        <w:rPr>
          <w:lang w:val="ru-RU"/>
        </w:rPr>
      </w:pPr>
      <w:r>
        <w:rPr>
          <w:rFonts w:ascii="Times New Roman" w:hAnsi="Times New Roman" w:eastAsia="Times New Roman"/>
          <w:color w:val="000000"/>
        </w:rPr>
        <w:t xml:space="preserve">Основные компании: Apple, Microsoft, Amazon, Google, Intel и Cisco. Facebook и Oracle оставлены для отдельной проверки. Удалены ссылки, упоминания пользователей и лишние пробелы; в объект входят последние шесть уникальных сообщений, суммарно не более 220 слов. Дни без текста и случаи нулевой следующей доходности исключены. Итоговая выборка содержит 659 объектов.</w:t>
      </w:r>
    </w:p>
    <w:p>
      <w:pPr>
        <w:jc w:val="both"/>
        <w:rPr>
          <w:lang w:val="ru-RU"/>
        </w:rPr>
      </w:pPr>
      <w:r>
        <w:rPr>
          <w:rFonts w:ascii="Times New Roman" w:hAnsi="Times New Roman" w:eastAsia="Times New Roman"/>
          <w:color w:val="000000"/>
        </w:rPr>
        <w:t xml:space="preserve">Временные метки сообщений читаются в UTC и сопоставляются с закрытием NYSE с учётом праздников, сокращённых сессий и переходов на летнее время. Сообщения после закрытия относятся к следующей сессии. Прогноз формируется через 15 минут после закрытия, при этом текст содержит только сообщения, доступные до закрытия. В числах и на графике используются только прошедшие 20 сессий. Группы разделены по времени с промежутками, исключающими пересечение ценовых окон.</w:t>
      </w:r>
    </w:p>
    <w:p>
      <w:pPr>
        <w:jc w:val="left"/>
        <w:rPr>
          <w:lang w:val="ru-RU"/>
        </w:rPr>
        <w:spacing w:before="0" w:after="80" w:line="240" w:lineRule="auto"/>
        <w:ind w:firstLine="0"/>
        <w:keepNext/>
      </w:pPr>
      <w:r>
        <w:rPr>
          <w:rFonts w:ascii="Times New Roman" w:hAnsi="Times New Roman" w:eastAsia="Times New Roman"/>
          <w:color w:val="000000"/>
          <w:sz w:val="24"/>
        </w:rPr>
        <w:t xml:space="preserve">Таблица 1 - Разделение выборки</w:t>
      </w:r>
    </w:p>
    <w:tbl>
      <w:tblPr>
        <w:tblW w:w="8277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  <w:tblCellMar>
          <w:top w:w="60" w:type="dxa"/>
          <w:bottom w:w="60" w:type="dxa"/>
          <w:left w:w="90" w:type="dxa"/>
          <w:right w:w="90" w:type="dxa"/>
        </w:tblCellMar>
      </w:tblPr>
      <w:tblGrid>
        <w:gridCol w:w="2200"/>
        <w:gridCol w:w="2477"/>
        <w:gridCol w:w="1200"/>
        <w:gridCol w:w="1200"/>
        <w:gridCol w:w="1200"/>
      </w:tblGrid>
      <w:tr>
        <w:trPr>
          <w:cantSplit/>
          <w:tblHeader/>
          <w:jc w:val="center"/>
        </w:trPr>
        <w:tc>
          <w:tcPr>
            <w:tcW w:w="220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b/>
                <w:sz w:val="24"/>
              </w:rPr>
              <w:t xml:space="preserve">Группа</w:t>
            </w:r>
          </w:p>
        </w:tc>
        <w:tc>
          <w:tcPr>
            <w:tcW w:w="2477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b/>
                <w:sz w:val="24"/>
              </w:rPr>
              <w:t xml:space="preserve">Период</w:t>
            </w:r>
          </w:p>
        </w:tc>
        <w:tc>
          <w:tcPr>
            <w:tcW w:w="120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b/>
                <w:sz w:val="24"/>
              </w:rPr>
              <w:t xml:space="preserve">Всего</w:t>
            </w:r>
          </w:p>
        </w:tc>
        <w:tc>
          <w:tcPr>
            <w:tcW w:w="120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b/>
                <w:sz w:val="24"/>
              </w:rPr>
              <w:t xml:space="preserve">Рост</w:t>
            </w:r>
          </w:p>
        </w:tc>
        <w:tc>
          <w:tcPr>
            <w:tcW w:w="120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b/>
                <w:sz w:val="24"/>
              </w:rPr>
              <w:t xml:space="preserve">Падение</w:t>
            </w:r>
          </w:p>
        </w:tc>
      </w:tr>
      <w:tr>
        <w:trPr>
          <w:cantSplit/>
          <w:jc w:val="center"/>
        </w:trPr>
        <w:tc>
          <w:tcPr>
            <w:tcW w:w="2200" w:type="dxa"/>
            <w:vAlign w:val="center"/>
          </w:tcPr>
          <w:p>
            <w:pPr>
              <w:ind w:firstLine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Обучение</w:t>
            </w:r>
          </w:p>
        </w:tc>
        <w:tc>
          <w:tcPr>
            <w:tcW w:w="2477" w:type="dxa"/>
            <w:vAlign w:val="center"/>
          </w:tcPr>
          <w:p>
            <w:pPr>
              <w:ind w:firstLine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Февраль - август 2014</w:t>
            </w:r>
          </w:p>
        </w:tc>
        <w:tc>
          <w:tcPr>
            <w:tcW w:w="120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400</w:t>
            </w:r>
          </w:p>
        </w:tc>
        <w:tc>
          <w:tcPr>
            <w:tcW w:w="120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210</w:t>
            </w:r>
          </w:p>
        </w:tc>
        <w:tc>
          <w:tcPr>
            <w:tcW w:w="120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190</w:t>
            </w:r>
          </w:p>
        </w:tc>
      </w:tr>
      <w:tr>
        <w:trPr>
          <w:cantSplit/>
          <w:jc w:val="center"/>
        </w:trPr>
        <w:tc>
          <w:tcPr>
            <w:tcW w:w="2200" w:type="dxa"/>
            <w:vAlign w:val="center"/>
          </w:tcPr>
          <w:p>
            <w:pPr>
              <w:ind w:firstLine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Калибровка</w:t>
            </w:r>
          </w:p>
        </w:tc>
        <w:tc>
          <w:tcPr>
            <w:tcW w:w="2477" w:type="dxa"/>
            <w:vAlign w:val="center"/>
          </w:tcPr>
          <w:p>
            <w:pPr>
              <w:ind w:firstLine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Сентябрь 2014</w:t>
            </w:r>
          </w:p>
        </w:tc>
        <w:tc>
          <w:tcPr>
            <w:tcW w:w="120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48</w:t>
            </w:r>
          </w:p>
        </w:tc>
        <w:tc>
          <w:tcPr>
            <w:tcW w:w="120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26</w:t>
            </w:r>
          </w:p>
        </w:tc>
        <w:tc>
          <w:tcPr>
            <w:tcW w:w="120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22</w:t>
            </w:r>
          </w:p>
        </w:tc>
      </w:tr>
      <w:tr>
        <w:trPr>
          <w:cantSplit/>
          <w:jc w:val="center"/>
        </w:trPr>
        <w:tc>
          <w:tcPr>
            <w:tcW w:w="2200" w:type="dxa"/>
            <w:vAlign w:val="center"/>
          </w:tcPr>
          <w:p>
            <w:pPr>
              <w:ind w:firstLine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Выбор модели</w:t>
            </w:r>
          </w:p>
        </w:tc>
        <w:tc>
          <w:tcPr>
            <w:tcW w:w="2477" w:type="dxa"/>
            <w:vAlign w:val="center"/>
          </w:tcPr>
          <w:p>
            <w:pPr>
              <w:ind w:firstLine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Ноябрь - декабрь 2014</w:t>
            </w:r>
          </w:p>
        </w:tc>
        <w:tc>
          <w:tcPr>
            <w:tcW w:w="120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64</w:t>
            </w:r>
          </w:p>
        </w:tc>
        <w:tc>
          <w:tcPr>
            <w:tcW w:w="120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33</w:t>
            </w:r>
          </w:p>
        </w:tc>
        <w:tc>
          <w:tcPr>
            <w:tcW w:w="120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31</w:t>
            </w:r>
          </w:p>
        </w:tc>
      </w:tr>
      <w:tr>
        <w:trPr>
          <w:cantSplit/>
          <w:jc w:val="center"/>
        </w:trPr>
        <w:tc>
          <w:tcPr>
            <w:tcW w:w="2200" w:type="dxa"/>
            <w:vAlign w:val="center"/>
          </w:tcPr>
          <w:p>
            <w:pPr>
              <w:ind w:firstLine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Итоговый тест</w:t>
            </w:r>
          </w:p>
        </w:tc>
        <w:tc>
          <w:tcPr>
            <w:tcW w:w="2477" w:type="dxa"/>
            <w:vAlign w:val="center"/>
          </w:tcPr>
          <w:p>
            <w:pPr>
              <w:ind w:firstLine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Февраль - март 2015</w:t>
            </w:r>
          </w:p>
        </w:tc>
        <w:tc>
          <w:tcPr>
            <w:tcW w:w="120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120</w:t>
            </w:r>
          </w:p>
        </w:tc>
        <w:tc>
          <w:tcPr>
            <w:tcW w:w="120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55</w:t>
            </w:r>
          </w:p>
        </w:tc>
        <w:tc>
          <w:tcPr>
            <w:tcW w:w="120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65</w:t>
            </w:r>
          </w:p>
        </w:tc>
      </w:tr>
      <w:tr>
        <w:trPr>
          <w:cantSplit/>
          <w:jc w:val="center"/>
        </w:trPr>
        <w:tc>
          <w:tcPr>
            <w:tcW w:w="2200" w:type="dxa"/>
            <w:vAlign w:val="center"/>
          </w:tcPr>
          <w:p>
            <w:pPr>
              <w:ind w:firstLine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Отдельная проверка</w:t>
            </w:r>
          </w:p>
        </w:tc>
        <w:tc>
          <w:tcPr>
            <w:tcW w:w="2477" w:type="dxa"/>
            <w:vAlign w:val="center"/>
          </w:tcPr>
          <w:p>
            <w:pPr>
              <w:ind w:firstLine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Май 2015</w:t>
            </w:r>
          </w:p>
        </w:tc>
        <w:tc>
          <w:tcPr>
            <w:tcW w:w="120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27</w:t>
            </w:r>
          </w:p>
        </w:tc>
        <w:tc>
          <w:tcPr>
            <w:tcW w:w="120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14</w:t>
            </w:r>
          </w:p>
        </w:tc>
        <w:tc>
          <w:tcPr>
            <w:tcW w:w="120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13</w:t>
            </w:r>
          </w:p>
        </w:tc>
      </w:tr>
    </w:tbl>
    <w:p>
      <w:pPr>
        <w:pStyle w:val="21"/>
        <w:spacing w:before="80"/>
      </w:pPr>
      <w:r>
        <w:rPr>
          <w:rFonts w:ascii="Times New Roman" w:hAnsi="Times New Roman" w:eastAsia="Times New Roman"/>
          <w:color w:val="000000"/>
          <w:b/>
        </w:rPr>
        <w:t xml:space="preserve">Модели и протокол сравнения</w:t>
      </w:r>
    </w:p>
    <w:p>
      <w:pPr>
        <w:jc w:val="both"/>
        <w:rPr>
          <w:lang w:val="ru-RU"/>
        </w:rPr>
      </w:pPr>
      <w:r>
        <w:rPr>
          <w:rFonts w:ascii="Times New Roman" w:hAnsi="Times New Roman" w:eastAsia="Times New Roman"/>
          <w:color w:val="000000"/>
        </w:rPr>
        <w:t xml:space="preserve">Текстовые и визуальные признаки извлекаются замороженными FinBERT и CLIP. Числовые признаки описывают доходности, диапазоны цен, объём и волатильность. Для этих признаков обучается логистическая регрессия. Early fusion объединяет признаки до классификации; late fusion усредняет калиброванные вероятности трёх baseline с равными весами.</w:t>
      </w:r>
    </w:p>
    <w:p>
      <w:pPr>
        <w:jc w:val="left"/>
        <w:rPr>
          <w:lang w:val="ru-RU"/>
        </w:rPr>
        <w:spacing w:before="0" w:after="80" w:line="240" w:lineRule="auto"/>
        <w:ind w:firstLine="0"/>
        <w:keepNext/>
      </w:pPr>
      <w:r>
        <w:rPr>
          <w:rFonts w:ascii="Times New Roman" w:hAnsi="Times New Roman" w:eastAsia="Times New Roman"/>
          <w:color w:val="000000"/>
          <w:sz w:val="24"/>
        </w:rPr>
        <w:t xml:space="preserve">Таблица 2 - Восемь сравниваемых вариантов</w:t>
      </w:r>
    </w:p>
    <w:tbl>
      <w:tblPr>
        <w:tblW w:w="8277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  <w:tblCellMar>
          <w:top w:w="60" w:type="dxa"/>
          <w:bottom w:w="60" w:type="dxa"/>
          <w:left w:w="90" w:type="dxa"/>
          <w:right w:w="90" w:type="dxa"/>
        </w:tblCellMar>
      </w:tblPr>
      <w:tblGrid>
        <w:gridCol w:w="2600"/>
        <w:gridCol w:w="3377"/>
        <w:gridCol w:w="2300"/>
      </w:tblGrid>
      <w:tr>
        <w:trPr>
          <w:cantSplit/>
          <w:tblHeader/>
          <w:jc w:val="center"/>
        </w:trPr>
        <w:tc>
          <w:tcPr>
            <w:tcW w:w="260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b/>
                <w:sz w:val="24"/>
              </w:rPr>
              <w:t xml:space="preserve">Вариант</w:t>
            </w:r>
          </w:p>
        </w:tc>
        <w:tc>
          <w:tcPr>
            <w:tcW w:w="3377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b/>
                <w:sz w:val="24"/>
              </w:rPr>
              <w:t xml:space="preserve">Состав</w:t>
            </w:r>
          </w:p>
        </w:tc>
        <w:tc>
          <w:tcPr>
            <w:tcW w:w="230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b/>
                <w:sz w:val="24"/>
              </w:rPr>
              <w:t xml:space="preserve">Режим</w:t>
            </w:r>
          </w:p>
        </w:tc>
      </w:tr>
      <w:tr>
        <w:trPr>
          <w:cantSplit/>
          <w:jc w:val="center"/>
        </w:trPr>
        <w:tc>
          <w:tcPr>
            <w:tcW w:w="2600" w:type="dxa"/>
            <w:vAlign w:val="center"/>
          </w:tcPr>
          <w:p>
            <w:pPr>
              <w:ind w:firstLine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Текстовый baseline</w:t>
            </w:r>
          </w:p>
        </w:tc>
        <w:tc>
          <w:tcPr>
            <w:tcW w:w="3377" w:type="dxa"/>
            <w:vAlign w:val="center"/>
          </w:tcPr>
          <w:p>
            <w:pPr>
              <w:ind w:firstLine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FinBERT FP16 и классификатор</w:t>
            </w:r>
          </w:p>
        </w:tc>
        <w:tc>
          <w:tcPr>
            <w:tcW w:w="2300" w:type="dxa"/>
            <w:vAlign w:val="center"/>
          </w:tcPr>
          <w:p>
            <w:pPr>
              <w:ind w:firstLine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Обучается классификатор</w:t>
            </w:r>
          </w:p>
        </w:tc>
      </w:tr>
      <w:tr>
        <w:trPr>
          <w:cantSplit/>
          <w:jc w:val="center"/>
        </w:trPr>
        <w:tc>
          <w:tcPr>
            <w:tcW w:w="2600" w:type="dxa"/>
            <w:vAlign w:val="center"/>
          </w:tcPr>
          <w:p>
            <w:pPr>
              <w:ind w:firstLine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Числовой baseline</w:t>
            </w:r>
          </w:p>
        </w:tc>
        <w:tc>
          <w:tcPr>
            <w:tcW w:w="3377" w:type="dxa"/>
            <w:vAlign w:val="center"/>
          </w:tcPr>
          <w:p>
            <w:pPr>
              <w:ind w:firstLine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Признаки котировок и классификатор</w:t>
            </w:r>
          </w:p>
        </w:tc>
        <w:tc>
          <w:tcPr>
            <w:tcW w:w="2300" w:type="dxa"/>
            <w:vAlign w:val="center"/>
          </w:tcPr>
          <w:p>
            <w:pPr>
              <w:ind w:firstLine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Обучается классификатор</w:t>
            </w:r>
          </w:p>
        </w:tc>
      </w:tr>
      <w:tr>
        <w:trPr>
          <w:cantSplit/>
          <w:jc w:val="center"/>
        </w:trPr>
        <w:tc>
          <w:tcPr>
            <w:tcW w:w="2600" w:type="dxa"/>
            <w:vAlign w:val="center"/>
          </w:tcPr>
          <w:p>
            <w:pPr>
              <w:ind w:firstLine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Визуальный baseline</w:t>
            </w:r>
          </w:p>
        </w:tc>
        <w:tc>
          <w:tcPr>
            <w:tcW w:w="3377" w:type="dxa"/>
            <w:vAlign w:val="center"/>
          </w:tcPr>
          <w:p>
            <w:pPr>
              <w:ind w:firstLine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CLIP ViT-B/32 FP16 и классификатор</w:t>
            </w:r>
          </w:p>
        </w:tc>
        <w:tc>
          <w:tcPr>
            <w:tcW w:w="2300" w:type="dxa"/>
            <w:vAlign w:val="center"/>
          </w:tcPr>
          <w:p>
            <w:pPr>
              <w:ind w:firstLine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Обучается классификатор</w:t>
            </w:r>
          </w:p>
        </w:tc>
      </w:tr>
      <w:tr>
        <w:trPr>
          <w:cantSplit/>
          <w:jc w:val="center"/>
        </w:trPr>
        <w:tc>
          <w:tcPr>
            <w:tcW w:w="2600" w:type="dxa"/>
            <w:vAlign w:val="center"/>
          </w:tcPr>
          <w:p>
            <w:pPr>
              <w:ind w:firstLine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Early fusion текста и чисел</w:t>
            </w:r>
          </w:p>
        </w:tc>
        <w:tc>
          <w:tcPr>
            <w:tcW w:w="3377" w:type="dxa"/>
            <w:vAlign w:val="center"/>
          </w:tcPr>
          <w:p>
            <w:pPr>
              <w:ind w:firstLine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FinBERT и числовые признаки</w:t>
            </w:r>
          </w:p>
        </w:tc>
        <w:tc>
          <w:tcPr>
            <w:tcW w:w="2300" w:type="dxa"/>
            <w:vAlign w:val="center"/>
          </w:tcPr>
          <w:p>
            <w:pPr>
              <w:ind w:firstLine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Обучается классификатор</w:t>
            </w:r>
          </w:p>
        </w:tc>
      </w:tr>
      <w:tr>
        <w:trPr>
          <w:cantSplit/>
          <w:jc w:val="center"/>
        </w:trPr>
        <w:tc>
          <w:tcPr>
            <w:tcW w:w="2600" w:type="dxa"/>
            <w:vAlign w:val="center"/>
          </w:tcPr>
          <w:p>
            <w:pPr>
              <w:ind w:firstLine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Early fusion трёх входов</w:t>
            </w:r>
          </w:p>
        </w:tc>
        <w:tc>
          <w:tcPr>
            <w:tcW w:w="3377" w:type="dxa"/>
            <w:vAlign w:val="center"/>
          </w:tcPr>
          <w:p>
            <w:pPr>
              <w:ind w:firstLine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FinBERT, CLIP и числовые признаки</w:t>
            </w:r>
          </w:p>
        </w:tc>
        <w:tc>
          <w:tcPr>
            <w:tcW w:w="2300" w:type="dxa"/>
            <w:vAlign w:val="center"/>
          </w:tcPr>
          <w:p>
            <w:pPr>
              <w:ind w:firstLine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Обучается классификатор</w:t>
            </w:r>
          </w:p>
        </w:tc>
      </w:tr>
      <w:tr>
        <w:trPr>
          <w:cantSplit/>
          <w:jc w:val="center"/>
        </w:trPr>
        <w:tc>
          <w:tcPr>
            <w:tcW w:w="2600" w:type="dxa"/>
            <w:vAlign w:val="center"/>
          </w:tcPr>
          <w:p>
            <w:pPr>
              <w:ind w:firstLine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Late fusion трёх входов</w:t>
            </w:r>
          </w:p>
        </w:tc>
        <w:tc>
          <w:tcPr>
            <w:tcW w:w="3377" w:type="dxa"/>
            <w:vAlign w:val="center"/>
          </w:tcPr>
          <w:p>
            <w:pPr>
              <w:ind w:firstLine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Среднее вероятностей трёх baseline</w:t>
            </w:r>
          </w:p>
        </w:tc>
        <w:tc>
          <w:tcPr>
            <w:tcW w:w="2300" w:type="dxa"/>
            <w:vAlign w:val="center"/>
          </w:tcPr>
          <w:p>
            <w:pPr>
              <w:ind w:firstLine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Отдельная калибровка</w:t>
            </w:r>
          </w:p>
        </w:tc>
      </w:tr>
      <w:tr>
        <w:trPr>
          <w:cantSplit/>
          <w:jc w:val="center"/>
        </w:trPr>
        <w:tc>
          <w:tcPr>
            <w:tcW w:w="2600" w:type="dxa"/>
            <w:vAlign w:val="center"/>
          </w:tcPr>
          <w:p>
            <w:pPr>
              <w:ind w:firstLine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BLIP-2 OPT-2.7B</w:t>
            </w:r>
          </w:p>
        </w:tc>
        <w:tc>
          <w:tcPr>
            <w:tcW w:w="3377" w:type="dxa"/>
            <w:vAlign w:val="center"/>
          </w:tcPr>
          <w:p>
            <w:pPr>
              <w:ind w:firstLine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Визуальный энкодер, Q-Former и OPT</w:t>
            </w:r>
          </w:p>
        </w:tc>
        <w:tc>
          <w:tcPr>
            <w:tcW w:w="2300" w:type="dxa"/>
            <w:vAlign w:val="center"/>
          </w:tcPr>
          <w:p>
            <w:pPr>
              <w:ind w:firstLine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FP16, zero-shot</w:t>
            </w:r>
          </w:p>
        </w:tc>
      </w:tr>
      <w:tr>
        <w:trPr>
          <w:cantSplit/>
          <w:jc w:val="center"/>
        </w:trPr>
        <w:tc>
          <w:tcPr>
            <w:tcW w:w="2600" w:type="dxa"/>
            <w:vAlign w:val="center"/>
          </w:tcPr>
          <w:p>
            <w:pPr>
              <w:ind w:firstLine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Qwen2.5-VL-7B</w:t>
            </w:r>
          </w:p>
        </w:tc>
        <w:tc>
          <w:tcPr>
            <w:tcW w:w="3377" w:type="dxa"/>
            <w:vAlign w:val="center"/>
          </w:tcPr>
          <w:p>
            <w:pPr>
              <w:ind w:firstLine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Визуальный энкодер и языковая модель</w:t>
            </w:r>
          </w:p>
        </w:tc>
        <w:tc>
          <w:tcPr>
            <w:tcW w:w="2300" w:type="dxa"/>
            <w:vAlign w:val="center"/>
          </w:tcPr>
          <w:p>
            <w:pPr>
              <w:ind w:firstLine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NF4, zero-shot</w:t>
            </w:r>
          </w:p>
        </w:tc>
      </w:tr>
    </w:tbl>
    <w:p>
      <w:pPr>
        <w:jc w:val="both"/>
        <w:rPr>
          <w:lang w:val="ru-RU"/>
        </w:rPr>
        <w:spacing w:before="120"/>
      </w:pPr>
      <w:r>
        <w:rPr>
          <w:rFonts w:ascii="Times New Roman" w:hAnsi="Times New Roman" w:eastAsia="Times New Roman"/>
          <w:color w:val="000000"/>
        </w:rPr>
        <w:t xml:space="preserve">BLIP-2 [7] связывает визуальный энкодер с языковой моделью через Q-Former. Размер 2,7 млрд относится к OPT; вся система содержит около 4 млрд параметров. BLIP-2 работает без квантования, Qwen использует 4-битное NF4. Обе модели получают одни и те же три входа. Оцениваются два допустимых ответа A и B, после чего вероятности калибруются. В запросах скрываются названия компаний и годы. Примеры ответов не добавляются.</w:t>
      </w:r>
    </w:p>
    <w:p>
      <w:pPr>
        <w:jc w:val="both"/>
        <w:rPr>
          <w:lang w:val="ru-RU"/>
        </w:rPr>
      </w:pPr>
      <w:r>
        <w:rPr>
          <w:rFonts w:ascii="Times New Roman" w:hAnsi="Times New Roman" w:eastAsia="Times New Roman"/>
          <w:color w:val="000000"/>
        </w:rPr>
        <w:t xml:space="preserve">Классификатор и нормализация обучаются только на обучающей группе. Вероятности отдельно калибруются на 48 объектах; порог решения заранее фиксирован на 0,5. Параметры и веса fusion не подбираются по итоговому тесту. Все GPU-модели выполняются последовательно на одной NVIDIA Tesla T4 с 14,6 ГиБ памяти. Версии данных, весов и библиотек зафиксированы в ноутбуке.</w:t>
      </w:r>
    </w:p>
    <w:p>
      <w:pPr>
        <w:pStyle w:val="21"/>
        <w:spacing w:before="80"/>
      </w:pPr>
      <w:r>
        <w:rPr>
          <w:rFonts w:ascii="Times New Roman" w:hAnsi="Times New Roman" w:eastAsia="Times New Roman"/>
          <w:color w:val="000000"/>
          <w:b/>
        </w:rPr>
        <w:t xml:space="preserve">Количественные результаты</w:t>
      </w:r>
    </w:p>
    <w:p>
      <w:pPr>
        <w:jc w:val="both"/>
        <w:rPr>
          <w:lang w:val="ru-RU"/>
        </w:rPr>
      </w:pPr>
      <w:r>
        <w:rPr>
          <w:rFonts w:ascii="Times New Roman" w:hAnsi="Times New Roman" w:eastAsia="Times New Roman"/>
          <w:color w:val="000000"/>
        </w:rPr>
        <w:t xml:space="preserve">Основная метрика сравнения - Macro-F1. В таблице приведены результаты итогового теста из 120 объектов. В ноутбуке дополнительно сохранены MCC, ECE, log loss и доверительные интервалы.</w:t>
      </w:r>
    </w:p>
    <w:p>
      <w:pPr>
        <w:jc w:val="left"/>
        <w:rPr>
          <w:lang w:val="ru-RU"/>
        </w:rPr>
        <w:spacing w:before="0" w:after="80" w:line="240" w:lineRule="auto"/>
        <w:ind w:firstLine="0"/>
        <w:keepNext/>
      </w:pPr>
      <w:r>
        <w:rPr>
          <w:rFonts w:ascii="Times New Roman" w:hAnsi="Times New Roman" w:eastAsia="Times New Roman"/>
          <w:color w:val="000000"/>
          <w:sz w:val="24"/>
        </w:rPr>
        <w:t xml:space="preserve">Таблица 3 - Качество на итоговом тесте</w:t>
      </w:r>
    </w:p>
    <w:tbl>
      <w:tblPr>
        <w:tblW w:w="8277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  <w:tblCellMar>
          <w:top w:w="60" w:type="dxa"/>
          <w:bottom w:w="60" w:type="dxa"/>
          <w:left w:w="90" w:type="dxa"/>
          <w:right w:w="90" w:type="dxa"/>
        </w:tblCellMar>
      </w:tblPr>
      <w:tblGrid>
        <w:gridCol w:w="3177"/>
        <w:gridCol w:w="1250"/>
        <w:gridCol w:w="1350"/>
        <w:gridCol w:w="1250"/>
        <w:gridCol w:w="1250"/>
      </w:tblGrid>
      <w:tr>
        <w:trPr>
          <w:cantSplit/>
          <w:tblHeader/>
          <w:jc w:val="center"/>
        </w:trPr>
        <w:tc>
          <w:tcPr>
            <w:tcW w:w="3177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b/>
                <w:sz w:val="24"/>
              </w:rPr>
              <w:t xml:space="preserve">Вариант</w:t>
            </w:r>
          </w:p>
        </w:tc>
        <w:tc>
          <w:tcPr>
            <w:tcW w:w="125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b/>
                <w:sz w:val="24"/>
              </w:rPr>
              <w:t xml:space="preserve">Accuracy</w:t>
            </w:r>
          </w:p>
        </w:tc>
        <w:tc>
          <w:tcPr>
            <w:tcW w:w="135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b/>
                <w:sz w:val="24"/>
              </w:rPr>
              <w:t xml:space="preserve">Macro-F1</w:t>
            </w:r>
          </w:p>
        </w:tc>
        <w:tc>
          <w:tcPr>
            <w:tcW w:w="125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b/>
                <w:sz w:val="24"/>
              </w:rPr>
              <w:t xml:space="preserve">AUROC</w:t>
            </w:r>
          </w:p>
        </w:tc>
        <w:tc>
          <w:tcPr>
            <w:tcW w:w="125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b/>
                <w:sz w:val="24"/>
              </w:rPr>
              <w:t xml:space="preserve">Brier</w:t>
            </w:r>
          </w:p>
        </w:tc>
      </w:tr>
      <w:tr>
        <w:trPr>
          <w:cantSplit/>
          <w:jc w:val="center"/>
        </w:trPr>
        <w:tc>
          <w:tcPr>
            <w:tcW w:w="3177" w:type="dxa"/>
            <w:vAlign w:val="center"/>
          </w:tcPr>
          <w:p>
            <w:pPr>
              <w:ind w:firstLine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Текстовый baseline</w:t>
            </w:r>
          </w:p>
        </w:tc>
        <w:tc>
          <w:tcPr>
            <w:tcW w:w="125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0,467</w:t>
            </w:r>
          </w:p>
        </w:tc>
        <w:tc>
          <w:tcPr>
            <w:tcW w:w="135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0,414</w:t>
            </w:r>
          </w:p>
        </w:tc>
        <w:tc>
          <w:tcPr>
            <w:tcW w:w="125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0,453</w:t>
            </w:r>
          </w:p>
        </w:tc>
        <w:tc>
          <w:tcPr>
            <w:tcW w:w="125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0,259</w:t>
            </w:r>
          </w:p>
        </w:tc>
      </w:tr>
      <w:tr>
        <w:trPr>
          <w:cantSplit/>
          <w:jc w:val="center"/>
        </w:trPr>
        <w:tc>
          <w:tcPr>
            <w:tcW w:w="3177" w:type="dxa"/>
            <w:vAlign w:val="center"/>
          </w:tcPr>
          <w:p>
            <w:pPr>
              <w:ind w:firstLine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Числовой baseline</w:t>
            </w:r>
          </w:p>
        </w:tc>
        <w:tc>
          <w:tcPr>
            <w:tcW w:w="125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0,467</w:t>
            </w:r>
          </w:p>
        </w:tc>
        <w:tc>
          <w:tcPr>
            <w:tcW w:w="135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0,444</w:t>
            </w:r>
          </w:p>
        </w:tc>
        <w:tc>
          <w:tcPr>
            <w:tcW w:w="125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0,480</w:t>
            </w:r>
          </w:p>
        </w:tc>
        <w:tc>
          <w:tcPr>
            <w:tcW w:w="125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0,265</w:t>
            </w:r>
          </w:p>
        </w:tc>
      </w:tr>
      <w:tr>
        <w:trPr>
          <w:cantSplit/>
          <w:jc w:val="center"/>
        </w:trPr>
        <w:tc>
          <w:tcPr>
            <w:tcW w:w="3177" w:type="dxa"/>
            <w:vAlign w:val="center"/>
          </w:tcPr>
          <w:p>
            <w:pPr>
              <w:ind w:firstLine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Визуальный baseline</w:t>
            </w:r>
          </w:p>
        </w:tc>
        <w:tc>
          <w:tcPr>
            <w:tcW w:w="125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0,458</w:t>
            </w:r>
          </w:p>
        </w:tc>
        <w:tc>
          <w:tcPr>
            <w:tcW w:w="135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0,314</w:t>
            </w:r>
          </w:p>
        </w:tc>
        <w:tc>
          <w:tcPr>
            <w:tcW w:w="125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0,507</w:t>
            </w:r>
          </w:p>
        </w:tc>
        <w:tc>
          <w:tcPr>
            <w:tcW w:w="125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0,255</w:t>
            </w:r>
          </w:p>
        </w:tc>
      </w:tr>
      <w:tr>
        <w:trPr>
          <w:cantSplit/>
          <w:jc w:val="center"/>
        </w:trPr>
        <w:tc>
          <w:tcPr>
            <w:tcW w:w="3177" w:type="dxa"/>
            <w:vAlign w:val="center"/>
          </w:tcPr>
          <w:p>
            <w:pPr>
              <w:ind w:firstLine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Early fusion текста и чисел</w:t>
            </w:r>
          </w:p>
        </w:tc>
        <w:tc>
          <w:tcPr>
            <w:tcW w:w="125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0,500</w:t>
            </w:r>
          </w:p>
        </w:tc>
        <w:tc>
          <w:tcPr>
            <w:tcW w:w="135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0,422</w:t>
            </w:r>
          </w:p>
        </w:tc>
        <w:tc>
          <w:tcPr>
            <w:tcW w:w="125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0,489</w:t>
            </w:r>
          </w:p>
        </w:tc>
        <w:tc>
          <w:tcPr>
            <w:tcW w:w="125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0,256</w:t>
            </w:r>
          </w:p>
        </w:tc>
      </w:tr>
      <w:tr>
        <w:trPr>
          <w:cantSplit/>
          <w:jc w:val="center"/>
        </w:trPr>
        <w:tc>
          <w:tcPr>
            <w:tcW w:w="3177" w:type="dxa"/>
            <w:vAlign w:val="center"/>
          </w:tcPr>
          <w:p>
            <w:pPr>
              <w:ind w:firstLine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Early fusion трёх входов</w:t>
            </w:r>
          </w:p>
        </w:tc>
        <w:tc>
          <w:tcPr>
            <w:tcW w:w="125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0,475</w:t>
            </w:r>
          </w:p>
        </w:tc>
        <w:tc>
          <w:tcPr>
            <w:tcW w:w="135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0,348</w:t>
            </w:r>
          </w:p>
        </w:tc>
        <w:tc>
          <w:tcPr>
            <w:tcW w:w="125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0,512</w:t>
            </w:r>
          </w:p>
        </w:tc>
        <w:tc>
          <w:tcPr>
            <w:tcW w:w="125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0,255</w:t>
            </w:r>
          </w:p>
        </w:tc>
      </w:tr>
      <w:tr>
        <w:trPr>
          <w:cantSplit/>
          <w:jc w:val="center"/>
        </w:trPr>
        <w:tc>
          <w:tcPr>
            <w:tcW w:w="3177" w:type="dxa"/>
            <w:vAlign w:val="center"/>
          </w:tcPr>
          <w:p>
            <w:pPr>
              <w:ind w:firstLine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Late fusion трёх входов</w:t>
            </w:r>
          </w:p>
        </w:tc>
        <w:tc>
          <w:tcPr>
            <w:tcW w:w="125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0,458</w:t>
            </w:r>
          </w:p>
        </w:tc>
        <w:tc>
          <w:tcPr>
            <w:tcW w:w="135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0,314</w:t>
            </w:r>
          </w:p>
        </w:tc>
        <w:tc>
          <w:tcPr>
            <w:tcW w:w="125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0,457</w:t>
            </w:r>
          </w:p>
        </w:tc>
        <w:tc>
          <w:tcPr>
            <w:tcW w:w="125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0,256</w:t>
            </w:r>
          </w:p>
        </w:tc>
      </w:tr>
      <w:tr>
        <w:trPr>
          <w:cantSplit/>
          <w:jc w:val="center"/>
        </w:trPr>
        <w:tc>
          <w:tcPr>
            <w:tcW w:w="3177" w:type="dxa"/>
            <w:vAlign w:val="center"/>
          </w:tcPr>
          <w:p>
            <w:pPr>
              <w:ind w:firstLine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BLIP-2 OPT-2.7B</w:t>
            </w:r>
          </w:p>
        </w:tc>
        <w:tc>
          <w:tcPr>
            <w:tcW w:w="125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0,475</w:t>
            </w:r>
          </w:p>
        </w:tc>
        <w:tc>
          <w:tcPr>
            <w:tcW w:w="135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0,380</w:t>
            </w:r>
          </w:p>
        </w:tc>
        <w:tc>
          <w:tcPr>
            <w:tcW w:w="125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0,443</w:t>
            </w:r>
          </w:p>
        </w:tc>
        <w:tc>
          <w:tcPr>
            <w:tcW w:w="125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0,259</w:t>
            </w:r>
          </w:p>
        </w:tc>
      </w:tr>
      <w:tr>
        <w:trPr>
          <w:cantSplit/>
          <w:jc w:val="center"/>
        </w:trPr>
        <w:tc>
          <w:tcPr>
            <w:tcW w:w="3177" w:type="dxa"/>
            <w:vAlign w:val="center"/>
          </w:tcPr>
          <w:p>
            <w:pPr>
              <w:ind w:firstLine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Qwen2.5-VL-7B</w:t>
            </w:r>
          </w:p>
        </w:tc>
        <w:tc>
          <w:tcPr>
            <w:tcW w:w="125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0,458</w:t>
            </w:r>
          </w:p>
        </w:tc>
        <w:tc>
          <w:tcPr>
            <w:tcW w:w="135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0,314</w:t>
            </w:r>
          </w:p>
        </w:tc>
        <w:tc>
          <w:tcPr>
            <w:tcW w:w="125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0,510</w:t>
            </w:r>
          </w:p>
        </w:tc>
        <w:tc>
          <w:tcPr>
            <w:tcW w:w="125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0,255</w:t>
            </w:r>
          </w:p>
        </w:tc>
      </w:tr>
    </w:tbl>
    <w:p>
      <w:pPr>
        <w:jc w:val="both"/>
        <w:rPr>
          <w:lang w:val="ru-RU"/>
        </w:rPr>
        <w:spacing w:before="120"/>
      </w:pPr>
      <w:r>
        <w:rPr>
          <w:rFonts w:ascii="Times New Roman" w:hAnsi="Times New Roman" w:eastAsia="Times New Roman"/>
          <w:color w:val="000000"/>
        </w:rPr>
        <w:t xml:space="preserve">На тесте числовой baseline получил наибольший Macro-F1 0,444; early fusion текста и чисел - 0,422; BLIP-2 - 0,380; Qwen - 0,314. Для числового baseline 95-процентный интервал составил [0,331; 0,569]. Использовано 500 повторных выборок блоков из пяти торговых дат с сохранением компаний одной даты вместе. Оценка различий на небольшой выборке нестабильна.</w:t>
      </w:r>
    </w:p>
    <w:p>
      <w:pPr>
        <w:jc w:val="both"/>
        <w:rPr>
          <w:lang w:val="ru-RU"/>
        </w:rPr>
      </w:pPr>
      <w:r>
        <w:rPr>
          <w:rFonts w:ascii="Times New Roman" w:hAnsi="Times New Roman" w:eastAsia="Times New Roman"/>
          <w:color w:val="000000"/>
        </w:rPr>
        <w:t xml:space="preserve">AUROC всех вариантов близок к 0,5. Визуальный baseline и Qwen после калибровки предсказывали рост для всех тестовых объектов. На буквы A/B приходится около 0,3 % вероятности BLIP-2 и 99,8 % Qwen. Эти условные оценки относятся к выбранному способу классификации, а не к свободной генерации.</w:t>
      </w:r>
    </w:p>
    <w:p>
      <w:pPr>
        <w:pStyle w:val="21"/>
        <w:spacing w:before="80"/>
      </w:pPr>
      <w:r>
        <w:rPr>
          <w:rFonts w:ascii="Times New Roman" w:hAnsi="Times New Roman" w:eastAsia="Times New Roman"/>
          <w:color w:val="000000"/>
          <w:b/>
        </w:rPr>
        <w:t xml:space="preserve">Время работы и память</w:t>
      </w:r>
    </w:p>
    <w:p>
      <w:pPr>
        <w:jc w:val="left"/>
        <w:rPr>
          <w:lang w:val="ru-RU"/>
        </w:rPr>
        <w:spacing w:before="0" w:after="80" w:line="240" w:lineRule="auto"/>
        <w:ind w:firstLine="0"/>
        <w:keepNext/>
      </w:pPr>
      <w:r>
        <w:rPr>
          <w:rFonts w:ascii="Times New Roman" w:hAnsi="Times New Roman" w:eastAsia="Times New Roman"/>
          <w:color w:val="000000"/>
          <w:sz w:val="24"/>
        </w:rPr>
        <w:t xml:space="preserve">Таблица 4 - Задержка обработки одного объекта</w:t>
      </w:r>
    </w:p>
    <w:tbl>
      <w:tblPr>
        <w:tblW w:w="8277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  <w:tblCellMar>
          <w:top w:w="60" w:type="dxa"/>
          <w:bottom w:w="60" w:type="dxa"/>
          <w:left w:w="90" w:type="dxa"/>
          <w:right w:w="90" w:type="dxa"/>
        </w:tblCellMar>
      </w:tblPr>
      <w:tblGrid>
        <w:gridCol w:w="3877"/>
        <w:gridCol w:w="1900"/>
        <w:gridCol w:w="2500"/>
      </w:tblGrid>
      <w:tr>
        <w:trPr>
          <w:cantSplit/>
          <w:tblHeader/>
          <w:jc w:val="center"/>
        </w:trPr>
        <w:tc>
          <w:tcPr>
            <w:tcW w:w="3877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  <w:keepNext/>
            </w:pPr>
            <w:r>
              <w:rPr>
                <w:rFonts w:ascii="Times New Roman" w:hAnsi="Times New Roman" w:eastAsia="Times New Roman"/>
                <w:color w:val="000000"/>
                <w:b/>
                <w:sz w:val="24"/>
              </w:rPr>
              <w:t xml:space="preserve">Вариант</w:t>
            </w:r>
          </w:p>
        </w:tc>
        <w:tc>
          <w:tcPr>
            <w:tcW w:w="190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  <w:keepNext/>
            </w:pPr>
            <w:r>
              <w:rPr>
                <w:rFonts w:ascii="Times New Roman" w:hAnsi="Times New Roman" w:eastAsia="Times New Roman"/>
                <w:color w:val="000000"/>
                <w:b/>
                <w:sz w:val="24"/>
              </w:rPr>
              <w:t xml:space="preserve">Медиана, мс</w:t>
            </w:r>
          </w:p>
        </w:tc>
        <w:tc>
          <w:tcPr>
            <w:tcW w:w="250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  <w:keepNext/>
            </w:pPr>
            <w:r>
              <w:rPr>
                <w:rFonts w:ascii="Times New Roman" w:hAnsi="Times New Roman" w:eastAsia="Times New Roman"/>
                <w:color w:val="000000"/>
                <w:b/>
                <w:sz w:val="24"/>
              </w:rPr>
              <w:t xml:space="preserve">95-й процентиль, мс</w:t>
            </w:r>
          </w:p>
        </w:tc>
      </w:tr>
      <w:tr>
        <w:trPr>
          <w:cantSplit/>
          <w:jc w:val="center"/>
        </w:trPr>
        <w:tc>
          <w:tcPr>
            <w:tcW w:w="3877" w:type="dxa"/>
            <w:vAlign w:val="center"/>
          </w:tcPr>
          <w:p>
            <w:pPr>
              <w:ind w:firstLine="0"/>
              <w:spacing w:before="0" w:after="0" w:line="240" w:lineRule="auto"/>
              <w:jc w:val="left"/>
              <w:keepNext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Текстовый baseline</w:t>
            </w:r>
          </w:p>
        </w:tc>
        <w:tc>
          <w:tcPr>
            <w:tcW w:w="190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  <w:keepNext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9,3</w:t>
            </w:r>
          </w:p>
        </w:tc>
        <w:tc>
          <w:tcPr>
            <w:tcW w:w="250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  <w:keepNext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103,2</w:t>
            </w:r>
          </w:p>
        </w:tc>
      </w:tr>
      <w:tr>
        <w:trPr>
          <w:cantSplit/>
          <w:jc w:val="center"/>
        </w:trPr>
        <w:tc>
          <w:tcPr>
            <w:tcW w:w="3877" w:type="dxa"/>
            <w:vAlign w:val="center"/>
          </w:tcPr>
          <w:p>
            <w:pPr>
              <w:ind w:firstLine="0"/>
              <w:spacing w:before="0" w:after="0" w:line="240" w:lineRule="auto"/>
              <w:jc w:val="left"/>
              <w:keepNext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Числовой baseline</w:t>
            </w:r>
          </w:p>
        </w:tc>
        <w:tc>
          <w:tcPr>
            <w:tcW w:w="190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  <w:keepNext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1,0</w:t>
            </w:r>
          </w:p>
        </w:tc>
        <w:tc>
          <w:tcPr>
            <w:tcW w:w="250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  <w:keepNext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1,0</w:t>
            </w:r>
          </w:p>
        </w:tc>
      </w:tr>
      <w:tr>
        <w:trPr>
          <w:cantSplit/>
          <w:jc w:val="center"/>
        </w:trPr>
        <w:tc>
          <w:tcPr>
            <w:tcW w:w="3877" w:type="dxa"/>
            <w:vAlign w:val="center"/>
          </w:tcPr>
          <w:p>
            <w:pPr>
              <w:ind w:firstLine="0"/>
              <w:spacing w:before="0" w:after="0" w:line="240" w:lineRule="auto"/>
              <w:jc w:val="left"/>
              <w:keepNext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Визуальный baseline</w:t>
            </w:r>
          </w:p>
        </w:tc>
        <w:tc>
          <w:tcPr>
            <w:tcW w:w="190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  <w:keepNext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217,7</w:t>
            </w:r>
          </w:p>
        </w:tc>
        <w:tc>
          <w:tcPr>
            <w:tcW w:w="250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  <w:keepNext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234,8</w:t>
            </w:r>
          </w:p>
        </w:tc>
      </w:tr>
      <w:tr>
        <w:trPr>
          <w:cantSplit/>
          <w:jc w:val="center"/>
        </w:trPr>
        <w:tc>
          <w:tcPr>
            <w:tcW w:w="3877" w:type="dxa"/>
            <w:vAlign w:val="center"/>
          </w:tcPr>
          <w:p>
            <w:pPr>
              <w:ind w:firstLine="0"/>
              <w:spacing w:before="0" w:after="0" w:line="240" w:lineRule="auto"/>
              <w:jc w:val="left"/>
              <w:keepNext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Early fusion текста и чисел</w:t>
            </w:r>
          </w:p>
        </w:tc>
        <w:tc>
          <w:tcPr>
            <w:tcW w:w="190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  <w:keepNext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9,1</w:t>
            </w:r>
          </w:p>
        </w:tc>
        <w:tc>
          <w:tcPr>
            <w:tcW w:w="250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  <w:keepNext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100,3</w:t>
            </w:r>
          </w:p>
        </w:tc>
      </w:tr>
      <w:tr>
        <w:trPr>
          <w:cantSplit/>
          <w:jc w:val="center"/>
        </w:trPr>
        <w:tc>
          <w:tcPr>
            <w:tcW w:w="3877" w:type="dxa"/>
            <w:vAlign w:val="center"/>
          </w:tcPr>
          <w:p>
            <w:pPr>
              <w:ind w:firstLine="0"/>
              <w:spacing w:before="0" w:after="0" w:line="240" w:lineRule="auto"/>
              <w:jc w:val="left"/>
              <w:keepNext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Early fusion трёх входов</w:t>
            </w:r>
          </w:p>
        </w:tc>
        <w:tc>
          <w:tcPr>
            <w:tcW w:w="190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  <w:keepNext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229,3</w:t>
            </w:r>
          </w:p>
        </w:tc>
        <w:tc>
          <w:tcPr>
            <w:tcW w:w="250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  <w:keepNext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347,4</w:t>
            </w:r>
          </w:p>
        </w:tc>
      </w:tr>
      <w:tr>
        <w:trPr>
          <w:cantSplit/>
          <w:jc w:val="center"/>
        </w:trPr>
        <w:tc>
          <w:tcPr>
            <w:tcW w:w="3877" w:type="dxa"/>
            <w:vAlign w:val="center"/>
          </w:tcPr>
          <w:p>
            <w:pPr>
              <w:ind w:firstLine="0"/>
              <w:spacing w:before="0" w:after="0" w:line="240" w:lineRule="auto"/>
              <w:jc w:val="left"/>
              <w:keepNext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Late fusion трёх входов</w:t>
            </w:r>
          </w:p>
        </w:tc>
        <w:tc>
          <w:tcPr>
            <w:tcW w:w="190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  <w:keepNext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230,1</w:t>
            </w:r>
          </w:p>
        </w:tc>
        <w:tc>
          <w:tcPr>
            <w:tcW w:w="250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  <w:keepNext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352,2</w:t>
            </w:r>
          </w:p>
        </w:tc>
      </w:tr>
      <w:tr>
        <w:trPr>
          <w:cantSplit/>
          <w:jc w:val="center"/>
        </w:trPr>
        <w:tc>
          <w:tcPr>
            <w:tcW w:w="3877" w:type="dxa"/>
            <w:vAlign w:val="center"/>
          </w:tcPr>
          <w:p>
            <w:pPr>
              <w:ind w:firstLine="0"/>
              <w:spacing w:before="0" w:after="0" w:line="240" w:lineRule="auto"/>
              <w:jc w:val="left"/>
              <w:keepNext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BLIP-2 OPT-2.7B</w:t>
            </w:r>
          </w:p>
        </w:tc>
        <w:tc>
          <w:tcPr>
            <w:tcW w:w="190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  <w:keepNext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494,5</w:t>
            </w:r>
          </w:p>
        </w:tc>
        <w:tc>
          <w:tcPr>
            <w:tcW w:w="250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  <w:keepNext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548,2</w:t>
            </w:r>
          </w:p>
        </w:tc>
      </w:tr>
      <w:tr>
        <w:trPr>
          <w:cantSplit/>
          <w:jc w:val="center"/>
        </w:trPr>
        <w:tc>
          <w:tcPr>
            <w:tcW w:w="3877" w:type="dxa"/>
            <w:vAlign w:val="center"/>
          </w:tcPr>
          <w:p>
            <w:pPr>
              <w:ind w:firstLine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Qwen2.5-VL-7B</w:t>
            </w:r>
          </w:p>
        </w:tc>
        <w:tc>
          <w:tcPr>
            <w:tcW w:w="190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1552,9</w:t>
            </w:r>
          </w:p>
        </w:tc>
        <w:tc>
          <w:tcPr>
            <w:tcW w:w="250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1884,3</w:t>
            </w:r>
          </w:p>
        </w:tc>
      </w:tr>
    </w:tbl>
    <w:p>
      <w:pPr>
        <w:jc w:val="left"/>
        <w:rPr>
          <w:lang w:val="ru-RU"/>
        </w:rPr>
        <w:spacing w:before="0" w:after="80" w:line="240" w:lineRule="auto"/>
        <w:ind w:firstLine="0"/>
        <w:keepNext/>
      </w:pPr>
      <w:r>
        <w:rPr>
          <w:rFonts w:ascii="Times New Roman" w:hAnsi="Times New Roman" w:eastAsia="Times New Roman"/>
          <w:color w:val="000000"/>
          <w:sz w:val="24"/>
        </w:rPr>
        <w:t xml:space="preserve">Таблица 5 - Загрузка и пиковая память компонентов</w:t>
      </w:r>
    </w:p>
    <w:tbl>
      <w:tblPr>
        <w:tblW w:w="8277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  <w:tblCellMar>
          <w:top w:w="60" w:type="dxa"/>
          <w:bottom w:w="60" w:type="dxa"/>
          <w:left w:w="90" w:type="dxa"/>
          <w:right w:w="90" w:type="dxa"/>
        </w:tblCellMar>
      </w:tblPr>
      <w:tblGrid>
        <w:gridCol w:w="3877"/>
        <w:gridCol w:w="1900"/>
        <w:gridCol w:w="2500"/>
      </w:tblGrid>
      <w:tr>
        <w:trPr>
          <w:cantSplit/>
          <w:tblHeader/>
          <w:jc w:val="center"/>
        </w:trPr>
        <w:tc>
          <w:tcPr>
            <w:tcW w:w="3877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b/>
                <w:sz w:val="24"/>
              </w:rPr>
              <w:t xml:space="preserve">Компонент</w:t>
            </w:r>
          </w:p>
        </w:tc>
        <w:tc>
          <w:tcPr>
            <w:tcW w:w="190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b/>
                <w:sz w:val="24"/>
              </w:rPr>
              <w:t xml:space="preserve">Загрузка, с</w:t>
            </w:r>
          </w:p>
        </w:tc>
        <w:tc>
          <w:tcPr>
            <w:tcW w:w="250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b/>
                <w:sz w:val="24"/>
              </w:rPr>
              <w:t xml:space="preserve">GPU-память, ГиБ</w:t>
            </w:r>
          </w:p>
        </w:tc>
      </w:tr>
      <w:tr>
        <w:trPr>
          <w:cantSplit/>
          <w:jc w:val="center"/>
        </w:trPr>
        <w:tc>
          <w:tcPr>
            <w:tcW w:w="3877" w:type="dxa"/>
            <w:vAlign w:val="center"/>
          </w:tcPr>
          <w:p>
            <w:pPr>
              <w:ind w:firstLine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FinBERT FP16</w:t>
            </w:r>
          </w:p>
        </w:tc>
        <w:tc>
          <w:tcPr>
            <w:tcW w:w="190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7,4</w:t>
            </w:r>
          </w:p>
        </w:tc>
        <w:tc>
          <w:tcPr>
            <w:tcW w:w="250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0,28</w:t>
            </w:r>
          </w:p>
        </w:tc>
      </w:tr>
      <w:tr>
        <w:trPr>
          <w:cantSplit/>
          <w:jc w:val="center"/>
        </w:trPr>
        <w:tc>
          <w:tcPr>
            <w:tcW w:w="3877" w:type="dxa"/>
            <w:vAlign w:val="center"/>
          </w:tcPr>
          <w:p>
            <w:pPr>
              <w:ind w:firstLine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CLIP FP16</w:t>
            </w:r>
          </w:p>
        </w:tc>
        <w:tc>
          <w:tcPr>
            <w:tcW w:w="190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7,7</w:t>
            </w:r>
          </w:p>
        </w:tc>
        <w:tc>
          <w:tcPr>
            <w:tcW w:w="250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0,32</w:t>
            </w:r>
          </w:p>
        </w:tc>
      </w:tr>
      <w:tr>
        <w:trPr>
          <w:cantSplit/>
          <w:jc w:val="center"/>
        </w:trPr>
        <w:tc>
          <w:tcPr>
            <w:tcW w:w="3877" w:type="dxa"/>
            <w:vAlign w:val="center"/>
          </w:tcPr>
          <w:p>
            <w:pPr>
              <w:ind w:firstLine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BLIP-2 OPT-2.7B FP16</w:t>
            </w:r>
          </w:p>
        </w:tc>
        <w:tc>
          <w:tcPr>
            <w:tcW w:w="190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109,3</w:t>
            </w:r>
          </w:p>
        </w:tc>
        <w:tc>
          <w:tcPr>
            <w:tcW w:w="250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7,57</w:t>
            </w:r>
          </w:p>
        </w:tc>
      </w:tr>
      <w:tr>
        <w:trPr>
          <w:cantSplit/>
          <w:jc w:val="center"/>
        </w:trPr>
        <w:tc>
          <w:tcPr>
            <w:tcW w:w="3877" w:type="dxa"/>
            <w:vAlign w:val="center"/>
          </w:tcPr>
          <w:p>
            <w:pPr>
              <w:ind w:firstLine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Qwen2.5-VL-7B NF4</w:t>
            </w:r>
          </w:p>
        </w:tc>
        <w:tc>
          <w:tcPr>
            <w:tcW w:w="190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156,5</w:t>
            </w:r>
          </w:p>
        </w:tc>
        <w:tc>
          <w:tcPr>
            <w:tcW w:w="250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6,19</w:t>
            </w:r>
          </w:p>
        </w:tc>
      </w:tr>
    </w:tbl>
    <w:p>
      <w:pPr>
        <w:jc w:val="both"/>
        <w:rPr>
          <w:lang w:val="ru-RU"/>
        </w:rPr>
        <w:spacing w:before="120"/>
      </w:pPr>
      <w:r>
        <w:rPr>
          <w:rFonts w:ascii="Times New Roman" w:hAnsi="Times New Roman" w:eastAsia="Times New Roman"/>
          <w:color w:val="000000"/>
        </w:rPr>
        <w:t xml:space="preserve">Для лёгких схем задержка оценена как сумма отдельно измеренных этапов на 20 объектах группы выбора. Для BLIP-2 и Qwen измерен полный запрос. В вариантах с изображением добавлено время построения графика. Поэтому 217,7 мс визуального baseline включает построение графика, а не только работу CLIP. Загрузка весов и разогрев учитываются отдельно; память отражает пик выделений PyTorch, а не весь занятый объём GPU.</w:t>
      </w:r>
    </w:p>
    <w:p>
      <w:pPr>
        <w:jc w:val="both"/>
        <w:rPr>
          <w:lang w:val="ru-RU"/>
        </w:rPr>
      </w:pPr>
      <w:r>
        <w:rPr>
          <w:rFonts w:ascii="Times New Roman" w:hAnsi="Times New Roman" w:eastAsia="Times New Roman"/>
          <w:color w:val="000000"/>
        </w:rPr>
        <w:t xml:space="preserve">Числовой baseline обрабатывает объект примерно за 0,95 мс на CPU. BLIP-2 требует около 494 мс, Qwen - 1 553 мс. Полный расчёт после установки библиотек занял 16,9 мин, включая подготовку данных, загрузки и итоговые проверки. BLIP-2 и Qwen оценили по 232 объекта. Измерения относятся к этому запуску и зависят от среды и сети.</w:t>
      </w:r>
    </w:p>
    <w:p>
      <w:pPr>
        <w:pStyle w:val="21"/>
        <w:spacing w:before="80"/>
      </w:pPr>
      <w:r>
        <w:rPr>
          <w:rFonts w:ascii="Times New Roman" w:hAnsi="Times New Roman" w:eastAsia="Times New Roman"/>
          <w:color w:val="000000"/>
          <w:b/>
        </w:rPr>
        <w:t xml:space="preserve">Выбор модели</w:t>
      </w:r>
    </w:p>
    <w:p>
      <w:pPr>
        <w:jc w:val="both"/>
        <w:rPr>
          <w:lang w:val="ru-RU"/>
        </w:rPr>
      </w:pPr>
      <w:r>
        <w:rPr>
          <w:rFonts w:ascii="Times New Roman" w:hAnsi="Times New Roman" w:eastAsia="Times New Roman"/>
          <w:color w:val="000000"/>
        </w:rPr>
        <w:t xml:space="preserve">Выбор выполняется только на группе из 64 объектов. Сначала определяется лучший unimodal baseline по Macro-F1, затем сравнивается с мультимодальными вариантами. Прирост допускается к выбору при положительной нижней границе 95-процентного интервала и p-value не выше 0,05 после поправки Холма на пять сравнений.</w:t>
      </w:r>
    </w:p>
    <w:p>
      <w:pPr>
        <w:jc w:val="left"/>
        <w:rPr>
          <w:lang w:val="ru-RU"/>
        </w:rPr>
        <w:spacing w:before="0" w:after="80" w:line="240" w:lineRule="auto"/>
        <w:ind w:firstLine="0"/>
        <w:keepNext/>
      </w:pPr>
      <w:r>
        <w:rPr>
          <w:rFonts w:ascii="Times New Roman" w:hAnsi="Times New Roman" w:eastAsia="Times New Roman"/>
          <w:color w:val="000000"/>
          <w:sz w:val="24"/>
        </w:rPr>
        <w:t xml:space="preserve">Таблица 6 - Прирост Macro-F1 на группе выбора</w:t>
      </w:r>
    </w:p>
    <w:tbl>
      <w:tblPr>
        <w:tblW w:w="8277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  <w:tblCellMar>
          <w:top w:w="60" w:type="dxa"/>
          <w:bottom w:w="60" w:type="dxa"/>
          <w:left w:w="90" w:type="dxa"/>
          <w:right w:w="90" w:type="dxa"/>
        </w:tblCellMar>
      </w:tblPr>
      <w:tblGrid>
        <w:gridCol w:w="3000"/>
        <w:gridCol w:w="1500"/>
        <w:gridCol w:w="1977"/>
        <w:gridCol w:w="1800"/>
      </w:tblGrid>
      <w:tr>
        <w:trPr>
          <w:cantSplit/>
          <w:tblHeader/>
          <w:jc w:val="center"/>
        </w:trPr>
        <w:tc>
          <w:tcPr>
            <w:tcW w:w="300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  <w:keepNext/>
            </w:pPr>
            <w:r>
              <w:rPr>
                <w:rFonts w:ascii="Times New Roman" w:hAnsi="Times New Roman" w:eastAsia="Times New Roman"/>
                <w:color w:val="000000"/>
                <w:b/>
                <w:sz w:val="24"/>
              </w:rPr>
              <w:t xml:space="preserve">Вариант</w:t>
            </w:r>
          </w:p>
        </w:tc>
        <w:tc>
          <w:tcPr>
            <w:tcW w:w="150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  <w:keepNext/>
            </w:pPr>
            <w:r>
              <w:rPr>
                <w:rFonts w:ascii="Times New Roman" w:hAnsi="Times New Roman" w:eastAsia="Times New Roman"/>
                <w:color w:val="000000"/>
                <w:b/>
                <w:sz w:val="24"/>
              </w:rPr>
              <w:t xml:space="preserve">Прирост</w:t>
            </w:r>
          </w:p>
        </w:tc>
        <w:tc>
          <w:tcPr>
            <w:tcW w:w="1977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  <w:keepNext/>
            </w:pPr>
            <w:r>
              <w:rPr>
                <w:rFonts w:ascii="Times New Roman" w:hAnsi="Times New Roman" w:eastAsia="Times New Roman"/>
                <w:color w:val="000000"/>
                <w:b/>
                <w:sz w:val="24"/>
              </w:rPr>
              <w:t xml:space="preserve">95 % интервал</w:t>
            </w:r>
          </w:p>
        </w:tc>
        <w:tc>
          <w:tcPr>
            <w:tcW w:w="180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  <w:keepNext/>
            </w:pPr>
            <w:r>
              <w:rPr>
                <w:rFonts w:ascii="Times New Roman" w:hAnsi="Times New Roman" w:eastAsia="Times New Roman"/>
                <w:color w:val="000000"/>
                <w:b/>
                <w:sz w:val="24"/>
              </w:rPr>
              <w:t xml:space="preserve">p-value Холма</w:t>
            </w:r>
          </w:p>
        </w:tc>
      </w:tr>
      <w:tr>
        <w:trPr>
          <w:cantSplit/>
          <w:jc w:val="center"/>
        </w:trPr>
        <w:tc>
          <w:tcPr>
            <w:tcW w:w="3000" w:type="dxa"/>
            <w:vAlign w:val="center"/>
          </w:tcPr>
          <w:p>
            <w:pPr>
              <w:ind w:firstLine="0"/>
              <w:spacing w:before="0" w:after="0" w:line="240" w:lineRule="auto"/>
              <w:jc w:val="left"/>
              <w:keepNext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Early fusion текста и чисел</w:t>
            </w:r>
          </w:p>
        </w:tc>
        <w:tc>
          <w:tcPr>
            <w:tcW w:w="150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  <w:keepNext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0,065</w:t>
            </w:r>
          </w:p>
        </w:tc>
        <w:tc>
          <w:tcPr>
            <w:tcW w:w="1977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  <w:keepNext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[-0,071; 0,192]</w:t>
            </w:r>
          </w:p>
        </w:tc>
        <w:tc>
          <w:tcPr>
            <w:tcW w:w="180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  <w:keepNext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1,000</w:t>
            </w:r>
          </w:p>
        </w:tc>
      </w:tr>
      <w:tr>
        <w:trPr>
          <w:cantSplit/>
          <w:jc w:val="center"/>
        </w:trPr>
        <w:tc>
          <w:tcPr>
            <w:tcW w:w="3000" w:type="dxa"/>
            <w:vAlign w:val="center"/>
          </w:tcPr>
          <w:p>
            <w:pPr>
              <w:ind w:firstLine="0"/>
              <w:spacing w:before="0" w:after="0" w:line="240" w:lineRule="auto"/>
              <w:jc w:val="left"/>
              <w:keepNext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Early fusion трёх входов</w:t>
            </w:r>
          </w:p>
        </w:tc>
        <w:tc>
          <w:tcPr>
            <w:tcW w:w="150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  <w:keepNext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-0,082</w:t>
            </w:r>
          </w:p>
        </w:tc>
        <w:tc>
          <w:tcPr>
            <w:tcW w:w="1977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  <w:keepNext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[-0,161; 0,004]</w:t>
            </w:r>
          </w:p>
        </w:tc>
        <w:tc>
          <w:tcPr>
            <w:tcW w:w="180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  <w:keepNext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1,000</w:t>
            </w:r>
          </w:p>
        </w:tc>
      </w:tr>
      <w:tr>
        <w:trPr>
          <w:cantSplit/>
          <w:jc w:val="center"/>
        </w:trPr>
        <w:tc>
          <w:tcPr>
            <w:tcW w:w="3000" w:type="dxa"/>
            <w:vAlign w:val="center"/>
          </w:tcPr>
          <w:p>
            <w:pPr>
              <w:ind w:firstLine="0"/>
              <w:spacing w:before="0" w:after="0" w:line="240" w:lineRule="auto"/>
              <w:jc w:val="left"/>
              <w:keepNext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Late fusion трёх входов</w:t>
            </w:r>
          </w:p>
        </w:tc>
        <w:tc>
          <w:tcPr>
            <w:tcW w:w="150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  <w:keepNext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-0,047</w:t>
            </w:r>
          </w:p>
        </w:tc>
        <w:tc>
          <w:tcPr>
            <w:tcW w:w="1977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  <w:keepNext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[-0,119; 0,038]</w:t>
            </w:r>
          </w:p>
        </w:tc>
        <w:tc>
          <w:tcPr>
            <w:tcW w:w="180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  <w:keepNext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1,000</w:t>
            </w:r>
          </w:p>
        </w:tc>
      </w:tr>
      <w:tr>
        <w:trPr>
          <w:cantSplit/>
          <w:jc w:val="center"/>
        </w:trPr>
        <w:tc>
          <w:tcPr>
            <w:tcW w:w="3000" w:type="dxa"/>
            <w:vAlign w:val="center"/>
          </w:tcPr>
          <w:p>
            <w:pPr>
              <w:ind w:firstLine="0"/>
              <w:spacing w:before="0" w:after="0" w:line="240" w:lineRule="auto"/>
              <w:jc w:val="left"/>
              <w:keepNext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BLIP-2 OPT-2.7B</w:t>
            </w:r>
          </w:p>
        </w:tc>
        <w:tc>
          <w:tcPr>
            <w:tcW w:w="150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  <w:keepNext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-0,079</w:t>
            </w:r>
          </w:p>
        </w:tc>
        <w:tc>
          <w:tcPr>
            <w:tcW w:w="1977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  <w:keepNext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[-0,165; 0,007]</w:t>
            </w:r>
          </w:p>
        </w:tc>
        <w:tc>
          <w:tcPr>
            <w:tcW w:w="180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  <w:keepNext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1,000</w:t>
            </w:r>
          </w:p>
        </w:tc>
      </w:tr>
      <w:tr>
        <w:trPr>
          <w:cantSplit/>
          <w:jc w:val="center"/>
        </w:trPr>
        <w:tc>
          <w:tcPr>
            <w:tcW w:w="3000" w:type="dxa"/>
            <w:vAlign w:val="center"/>
          </w:tcPr>
          <w:p>
            <w:pPr>
              <w:ind w:firstLine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Qwen2.5-VL-7B</w:t>
            </w:r>
          </w:p>
        </w:tc>
        <w:tc>
          <w:tcPr>
            <w:tcW w:w="150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-0,082</w:t>
            </w:r>
          </w:p>
        </w:tc>
        <w:tc>
          <w:tcPr>
            <w:tcW w:w="1977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[-0,161; 0,004]</w:t>
            </w:r>
          </w:p>
        </w:tc>
        <w:tc>
          <w:tcPr>
            <w:tcW w:w="180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1,000</w:t>
            </w:r>
          </w:p>
        </w:tc>
      </w:tr>
    </w:tbl>
    <w:p>
      <w:pPr>
        <w:jc w:val="both"/>
        <w:rPr>
          <w:lang w:val="ru-RU"/>
        </w:rPr>
        <w:spacing w:before="120"/>
      </w:pPr>
      <w:r>
        <w:rPr>
          <w:rFonts w:ascii="Times New Roman" w:hAnsi="Times New Roman" w:eastAsia="Times New Roman"/>
          <w:color w:val="000000"/>
        </w:rPr>
        <w:t xml:space="preserve">Числовой baseline получил Macro-F1 0,4222. У early fusion текста и чисел показатель выше: 0,4868, но интервал прироста включает ноль. Ни один мультимодальный вариант не прошёл проверку. Поэтому выбран числовой baseline. Сводный балл учитывает Macro-F1 с весом 55 %, AUROC - 20 %, величину 1 - Brier - 15 % и относительную скорость - 10 %. Он применяется после проверки допустимости. Итоговый тест не меняет выбор победителя.</w:t>
      </w:r>
    </w:p>
    <w:p>
      <w:pPr>
        <w:pStyle w:val="21"/>
        <w:spacing w:before="80"/>
      </w:pPr>
      <w:r>
        <w:rPr>
          <w:rFonts w:ascii="Times New Roman" w:hAnsi="Times New Roman" w:eastAsia="Times New Roman"/>
          <w:color w:val="000000"/>
          <w:b/>
        </w:rPr>
        <w:t xml:space="preserve">Отдельная проверка выбранного варианта</w:t>
      </w:r>
    </w:p>
    <w:p>
      <w:pPr>
        <w:jc w:val="both"/>
        <w:rPr>
          <w:lang w:val="ru-RU"/>
        </w:rPr>
      </w:pPr>
      <w:r>
        <w:rPr>
          <w:rFonts w:ascii="Times New Roman" w:hAnsi="Times New Roman" w:eastAsia="Times New Roman"/>
          <w:color w:val="000000"/>
        </w:rPr>
        <w:t xml:space="preserve">Числовой baseline проверен на 27 объектах Facebook и Oracle за май 2015 года. Эти компании исключены из обучения, калибровки и выбора; период проверки также более поздний. Это отдельная подвыборка StockNet, а не независимый внешний источник. Параметры модели после просмотра результатов не изменялись.</w:t>
      </w:r>
    </w:p>
    <w:p>
      <w:pPr>
        <w:jc w:val="left"/>
        <w:rPr>
          <w:lang w:val="ru-RU"/>
        </w:rPr>
        <w:spacing w:before="0" w:after="80" w:line="240" w:lineRule="auto"/>
        <w:ind w:firstLine="0"/>
        <w:keepNext/>
      </w:pPr>
      <w:r>
        <w:rPr>
          <w:rFonts w:ascii="Times New Roman" w:hAnsi="Times New Roman" w:eastAsia="Times New Roman"/>
          <w:color w:val="000000"/>
          <w:sz w:val="24"/>
        </w:rPr>
        <w:t xml:space="preserve">Таблица 7 - Результаты выбранного baseline</w:t>
      </w:r>
    </w:p>
    <w:tbl>
      <w:tblPr>
        <w:tblW w:w="8277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  <w:tblCellMar>
          <w:top w:w="60" w:type="dxa"/>
          <w:bottom w:w="60" w:type="dxa"/>
          <w:left w:w="90" w:type="dxa"/>
          <w:right w:w="90" w:type="dxa"/>
        </w:tblCellMar>
      </w:tblPr>
      <w:tblGrid>
        <w:gridCol w:w="3877"/>
        <w:gridCol w:w="2200"/>
        <w:gridCol w:w="2200"/>
      </w:tblGrid>
      <w:tr>
        <w:trPr>
          <w:cantSplit/>
          <w:tblHeader/>
          <w:jc w:val="center"/>
        </w:trPr>
        <w:tc>
          <w:tcPr>
            <w:tcW w:w="3877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b/>
                <w:sz w:val="24"/>
              </w:rPr>
              <w:t xml:space="preserve">Показатель</w:t>
            </w:r>
          </w:p>
        </w:tc>
        <w:tc>
          <w:tcPr>
            <w:tcW w:w="220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b/>
                <w:sz w:val="24"/>
              </w:rPr>
              <w:t xml:space="preserve">Итоговый тест</w:t>
            </w:r>
          </w:p>
        </w:tc>
        <w:tc>
          <w:tcPr>
            <w:tcW w:w="220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b/>
                <w:sz w:val="24"/>
              </w:rPr>
              <w:t xml:space="preserve">Новые компании</w:t>
            </w:r>
          </w:p>
        </w:tc>
      </w:tr>
      <w:tr>
        <w:trPr>
          <w:cantSplit/>
          <w:jc w:val="center"/>
        </w:trPr>
        <w:tc>
          <w:tcPr>
            <w:tcW w:w="3877" w:type="dxa"/>
            <w:vAlign w:val="center"/>
          </w:tcPr>
          <w:p>
            <w:pPr>
              <w:ind w:firstLine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Accuracy</w:t>
            </w:r>
          </w:p>
        </w:tc>
        <w:tc>
          <w:tcPr>
            <w:tcW w:w="220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0,467</w:t>
            </w:r>
          </w:p>
        </w:tc>
        <w:tc>
          <w:tcPr>
            <w:tcW w:w="220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0,481</w:t>
            </w:r>
          </w:p>
        </w:tc>
      </w:tr>
      <w:tr>
        <w:trPr>
          <w:cantSplit/>
          <w:jc w:val="center"/>
        </w:trPr>
        <w:tc>
          <w:tcPr>
            <w:tcW w:w="3877" w:type="dxa"/>
            <w:vAlign w:val="center"/>
          </w:tcPr>
          <w:p>
            <w:pPr>
              <w:ind w:firstLine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Macro-F1</w:t>
            </w:r>
          </w:p>
        </w:tc>
        <w:tc>
          <w:tcPr>
            <w:tcW w:w="220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0,444</w:t>
            </w:r>
          </w:p>
        </w:tc>
        <w:tc>
          <w:tcPr>
            <w:tcW w:w="220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0,417</w:t>
            </w:r>
          </w:p>
        </w:tc>
      </w:tr>
      <w:tr>
        <w:trPr>
          <w:cantSplit/>
          <w:jc w:val="center"/>
        </w:trPr>
        <w:tc>
          <w:tcPr>
            <w:tcW w:w="3877" w:type="dxa"/>
            <w:vAlign w:val="center"/>
          </w:tcPr>
          <w:p>
            <w:pPr>
              <w:ind w:firstLine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MCC</w:t>
            </w:r>
          </w:p>
        </w:tc>
        <w:tc>
          <w:tcPr>
            <w:tcW w:w="220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-0,030</w:t>
            </w:r>
          </w:p>
        </w:tc>
        <w:tc>
          <w:tcPr>
            <w:tcW w:w="220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-0,078</w:t>
            </w:r>
          </w:p>
        </w:tc>
      </w:tr>
      <w:tr>
        <w:trPr>
          <w:cantSplit/>
          <w:jc w:val="center"/>
        </w:trPr>
        <w:tc>
          <w:tcPr>
            <w:tcW w:w="3877" w:type="dxa"/>
            <w:vAlign w:val="center"/>
          </w:tcPr>
          <w:p>
            <w:pPr>
              <w:ind w:firstLine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AUROC</w:t>
            </w:r>
          </w:p>
        </w:tc>
        <w:tc>
          <w:tcPr>
            <w:tcW w:w="220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0,480</w:t>
            </w:r>
          </w:p>
        </w:tc>
        <w:tc>
          <w:tcPr>
            <w:tcW w:w="220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0,385</w:t>
            </w:r>
          </w:p>
        </w:tc>
      </w:tr>
      <w:tr>
        <w:trPr>
          <w:cantSplit/>
          <w:jc w:val="center"/>
        </w:trPr>
        <w:tc>
          <w:tcPr>
            <w:tcW w:w="3877" w:type="dxa"/>
            <w:vAlign w:val="center"/>
          </w:tcPr>
          <w:p>
            <w:pPr>
              <w:ind w:firstLine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Brier</w:t>
            </w:r>
          </w:p>
        </w:tc>
        <w:tc>
          <w:tcPr>
            <w:tcW w:w="220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0,265</w:t>
            </w:r>
          </w:p>
        </w:tc>
        <w:tc>
          <w:tcPr>
            <w:tcW w:w="220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0,262</w:t>
            </w:r>
          </w:p>
        </w:tc>
      </w:tr>
      <w:tr>
        <w:trPr>
          <w:cantSplit/>
          <w:jc w:val="center"/>
        </w:trPr>
        <w:tc>
          <w:tcPr>
            <w:tcW w:w="3877" w:type="dxa"/>
            <w:vAlign w:val="center"/>
          </w:tcPr>
          <w:p>
            <w:pPr>
              <w:ind w:firstLine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ECE</w:t>
            </w:r>
          </w:p>
        </w:tc>
        <w:tc>
          <w:tcPr>
            <w:tcW w:w="220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0,117</w:t>
            </w:r>
          </w:p>
        </w:tc>
        <w:tc>
          <w:tcPr>
            <w:tcW w:w="220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0,074</w:t>
            </w:r>
          </w:p>
        </w:tc>
      </w:tr>
    </w:tbl>
    <w:p>
      <w:pPr>
        <w:jc w:val="left"/>
        <w:rPr>
          <w:lang w:val="ru-RU"/>
        </w:rPr>
        <w:spacing w:before="0" w:after="80" w:line="240" w:lineRule="auto"/>
        <w:ind w:firstLine="0"/>
        <w:keepNext/>
      </w:pPr>
      <w:r>
        <w:rPr>
          <w:rFonts w:ascii="Times New Roman" w:hAnsi="Times New Roman" w:eastAsia="Times New Roman"/>
          <w:color w:val="000000"/>
          <w:sz w:val="24"/>
        </w:rPr>
        <w:t xml:space="preserve">Таблица 8 - Ошибки на новых компаниях</w:t>
      </w:r>
    </w:p>
    <w:tbl>
      <w:tblPr>
        <w:tblW w:w="8277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  <w:tblCellMar>
          <w:top w:w="60" w:type="dxa"/>
          <w:bottom w:w="60" w:type="dxa"/>
          <w:left w:w="90" w:type="dxa"/>
          <w:right w:w="90" w:type="dxa"/>
        </w:tblCellMar>
      </w:tblPr>
      <w:tblGrid>
        <w:gridCol w:w="3877"/>
        <w:gridCol w:w="2200"/>
        <w:gridCol w:w="2200"/>
      </w:tblGrid>
      <w:tr>
        <w:trPr>
          <w:cantSplit/>
          <w:tblHeader/>
          <w:jc w:val="center"/>
        </w:trPr>
        <w:tc>
          <w:tcPr>
            <w:tcW w:w="3877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  <w:keepNext/>
            </w:pPr>
            <w:r>
              <w:rPr>
                <w:rFonts w:ascii="Times New Roman" w:hAnsi="Times New Roman" w:eastAsia="Times New Roman"/>
                <w:color w:val="000000"/>
                <w:b/>
                <w:sz w:val="24"/>
              </w:rPr>
              <w:t xml:space="preserve">Фактическое движение</w:t>
            </w:r>
          </w:p>
        </w:tc>
        <w:tc>
          <w:tcPr>
            <w:tcW w:w="220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  <w:keepNext/>
            </w:pPr>
            <w:r>
              <w:rPr>
                <w:rFonts w:ascii="Times New Roman" w:hAnsi="Times New Roman" w:eastAsia="Times New Roman"/>
                <w:color w:val="000000"/>
                <w:b/>
                <w:sz w:val="24"/>
              </w:rPr>
              <w:t xml:space="preserve">Прогноз падение</w:t>
            </w:r>
          </w:p>
        </w:tc>
        <w:tc>
          <w:tcPr>
            <w:tcW w:w="220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  <w:keepNext/>
            </w:pPr>
            <w:r>
              <w:rPr>
                <w:rFonts w:ascii="Times New Roman" w:hAnsi="Times New Roman" w:eastAsia="Times New Roman"/>
                <w:color w:val="000000"/>
                <w:b/>
                <w:sz w:val="24"/>
              </w:rPr>
              <w:t xml:space="preserve">Прогноз рост</w:t>
            </w:r>
          </w:p>
        </w:tc>
      </w:tr>
      <w:tr>
        <w:trPr>
          <w:cantSplit/>
          <w:jc w:val="center"/>
        </w:trPr>
        <w:tc>
          <w:tcPr>
            <w:tcW w:w="3877" w:type="dxa"/>
            <w:vAlign w:val="center"/>
          </w:tcPr>
          <w:p>
            <w:pPr>
              <w:ind w:firstLine="0"/>
              <w:spacing w:before="0" w:after="0" w:line="240" w:lineRule="auto"/>
              <w:jc w:val="left"/>
              <w:keepNext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Фактически падение</w:t>
            </w:r>
          </w:p>
        </w:tc>
        <w:tc>
          <w:tcPr>
            <w:tcW w:w="220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  <w:keepNext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2</w:t>
            </w:r>
          </w:p>
        </w:tc>
        <w:tc>
          <w:tcPr>
            <w:tcW w:w="220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  <w:keepNext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11</w:t>
            </w:r>
          </w:p>
        </w:tc>
      </w:tr>
      <w:tr>
        <w:trPr>
          <w:cantSplit/>
          <w:jc w:val="center"/>
        </w:trPr>
        <w:tc>
          <w:tcPr>
            <w:tcW w:w="3877" w:type="dxa"/>
            <w:vAlign w:val="center"/>
          </w:tcPr>
          <w:p>
            <w:pPr>
              <w:ind w:firstLine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Фактически рост</w:t>
            </w:r>
          </w:p>
        </w:tc>
        <w:tc>
          <w:tcPr>
            <w:tcW w:w="220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3</w:t>
            </w:r>
          </w:p>
        </w:tc>
        <w:tc>
          <w:tcPr>
            <w:tcW w:w="2200" w:type="dxa"/>
            <w:vAlign w:val="center"/>
          </w:tcPr>
          <w:p>
            <w:pPr>
              <w:ind w:firstLine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 xml:space="preserve">11</w:t>
            </w:r>
          </w:p>
        </w:tc>
      </w:tr>
    </w:tbl>
    <w:p>
      <w:pPr>
        <w:jc w:val="both"/>
        <w:rPr>
          <w:lang w:val="ru-RU"/>
        </w:rPr>
        <w:spacing w:before="120"/>
      </w:pPr>
      <w:r>
        <w:rPr>
          <w:rFonts w:ascii="Times New Roman" w:hAnsi="Times New Roman" w:eastAsia="Times New Roman"/>
          <w:color w:val="000000"/>
        </w:rPr>
        <w:t xml:space="preserve">Верно классифицированы 13 из 27 объектов, допущено 14 ошибок. Модель часто прогнозирует рост: 22 случая, из которых 11 ошибочны. Например, 4 мая 2015 года она предсказала рост для Facebook и Oracle, хотя следующая доходность составила около -1,59 % и -1,50 %. Macro-F1 снизился с 0,444 на тесте до 0,417 на новых компаниях. Размер этой группы не позволяет надёжно оценить перенос на другие компании.</w:t>
      </w:r>
    </w:p>
    <w:p>
      <w:pPr>
        <w:pStyle w:val="21"/>
        <w:spacing w:before="80"/>
      </w:pPr>
      <w:r>
        <w:rPr>
          <w:rFonts w:ascii="Times New Roman" w:hAnsi="Times New Roman" w:eastAsia="Times New Roman"/>
          <w:color w:val="000000"/>
          <w:b/>
        </w:rPr>
        <w:t xml:space="preserve">Ограничения и вывод</w:t>
      </w:r>
    </w:p>
    <w:p>
      <w:pPr>
        <w:jc w:val="both"/>
        <w:rPr>
          <w:lang w:val="ru-RU"/>
        </w:rPr>
      </w:pPr>
      <w:r>
        <w:rPr>
          <w:rFonts w:ascii="Times New Roman" w:hAnsi="Times New Roman" w:eastAsia="Times New Roman"/>
          <w:color w:val="000000"/>
        </w:rPr>
        <w:t xml:space="preserve">Эксперимент ограничен небольшой исторической выборкой технологических компаний и днями с доступным текстом. Котировки из архива могут содержать поздние корректировки. Предобученные модели могли видеть исторические события; скрытие названий и годов не исключает этого риска. График и числа основаны на одном источнике. Качество относится к выбранным представлениям, подсказкам и калибровке, а не ко всем возможным настройкам моделей.</w:t>
      </w:r>
    </w:p>
    <w:p>
      <w:pPr>
        <w:jc w:val="both"/>
        <w:rPr>
          <w:lang w:val="ru-RU"/>
        </w:rPr>
      </w:pPr>
      <w:r>
        <w:rPr>
          <w:rFonts w:ascii="Times New Roman" w:hAnsi="Times New Roman" w:eastAsia="Times New Roman"/>
          <w:color w:val="000000"/>
        </w:rPr>
        <w:t xml:space="preserve">Гипотеза о подтверждённом приросте от объединения входов на этой выборке не подтверждена. По принятому правилу выбран быстрый числовой baseline, но его качество на отдельных компаниях также невысоко. BLIP-2 и Qwen требуют значительно больше вычислений и не дают выигрыша по основной метрике. Практический результат работы - воспроизводимый протокол сравнения и выявленные ограничения моделей. Для дальнейшей проверки нужна более крупная выборка других компаний и периодов.</w:t>
      </w:r>
    </w:p>
    <w:p>
      <w:pPr>
        <w:pStyle w:val="21"/>
        <w:spacing w:before="80"/>
      </w:pPr>
      <w:r>
        <w:rPr>
          <w:rFonts w:ascii="Times New Roman" w:hAnsi="Times New Roman" w:eastAsia="Times New Roman"/>
          <w:color w:val="000000"/>
          <w:b/>
        </w:rPr>
        <w:t xml:space="preserve">Источники и материалы эксперимента</w:t>
      </w:r>
    </w:p>
    <w:p>
      <w:pPr>
        <w:jc w:val="left"/>
        <w:rPr>
          <w:lang w:val="ru-RU"/>
        </w:rPr>
        <w:spacing w:before="0" w:after="80" w:line="240" w:lineRule="auto"/>
        <w:ind w:firstLine="0"/>
      </w:pPr>
      <w:r>
        <w:rPr>
          <w:rFonts w:ascii="Times New Roman" w:hAnsi="Times New Roman" w:eastAsia="Times New Roman"/>
          <w:color w:val="000000"/>
          <w:sz w:val="24"/>
        </w:rPr>
        <w:t xml:space="preserve">[1] Xu Y., Cohen S. B. Stock Movement Prediction from Tweets and Historical Prices. ACL. 2018. P. 1970-1979.</w:t>
      </w:r>
      <w:r>
        <w:rPr>
          <w:rFonts w:ascii="Times New Roman" w:hAnsi="Times New Roman" w:eastAsia="Times New Roman"/>
          <w:color w:val="000000"/>
          <w:sz w:val="24"/>
        </w:rPr>
        <w:t xml:space="preserve"> </w:t>
      </w:r>
      <w:hyperlink r:id="rIdReport1">
        <w:r>
          <w:rPr>
            <w:rFonts w:ascii="Times New Roman" w:hAnsi="Times New Roman" w:eastAsia="Times New Roman"/>
            <w:color w:val="0000FF"/>
            <w:sz w:val="24"/>
            <w:u w:val="single"/>
          </w:rPr>
          <w:t xml:space="preserve">Источник</w:t>
        </w:r>
      </w:hyperlink>
    </w:p>
    <w:p>
      <w:pPr>
        <w:jc w:val="left"/>
        <w:rPr>
          <w:lang w:val="ru-RU"/>
        </w:rPr>
        <w:spacing w:before="0" w:after="80" w:line="240" w:lineRule="auto"/>
        <w:ind w:firstLine="0"/>
      </w:pPr>
      <w:r>
        <w:rPr>
          <w:rFonts w:ascii="Times New Roman" w:hAnsi="Times New Roman" w:eastAsia="Times New Roman"/>
          <w:color w:val="000000"/>
          <w:sz w:val="24"/>
        </w:rPr>
        <w:t xml:space="preserve">[2] Araci D. FinBERT Financial Sentiment Analysis with Pre-trained Language Models. 2019. arXiv:1908.10063.</w:t>
      </w:r>
      <w:r>
        <w:rPr>
          <w:rFonts w:ascii="Times New Roman" w:hAnsi="Times New Roman" w:eastAsia="Times New Roman"/>
          <w:color w:val="000000"/>
          <w:sz w:val="24"/>
        </w:rPr>
        <w:t xml:space="preserve"> </w:t>
      </w:r>
      <w:hyperlink r:id="rIdReport2">
        <w:r>
          <w:rPr>
            <w:rFonts w:ascii="Times New Roman" w:hAnsi="Times New Roman" w:eastAsia="Times New Roman"/>
            <w:color w:val="0000FF"/>
            <w:sz w:val="24"/>
            <w:u w:val="single"/>
          </w:rPr>
          <w:t xml:space="preserve">Источник</w:t>
        </w:r>
      </w:hyperlink>
    </w:p>
    <w:p>
      <w:pPr>
        <w:jc w:val="left"/>
        <w:rPr>
          <w:lang w:val="ru-RU"/>
        </w:rPr>
        <w:spacing w:before="0" w:after="80" w:line="240" w:lineRule="auto"/>
        <w:ind w:firstLine="0"/>
      </w:pPr>
      <w:r>
        <w:rPr>
          <w:rFonts w:ascii="Times New Roman" w:hAnsi="Times New Roman" w:eastAsia="Times New Roman"/>
          <w:color w:val="000000"/>
          <w:sz w:val="24"/>
        </w:rPr>
        <w:t xml:space="preserve">[3] Radford A. et al. Learning Transferable Visual Models From Natural Language Supervision. ICML. 2021.</w:t>
      </w:r>
      <w:r>
        <w:rPr>
          <w:rFonts w:ascii="Times New Roman" w:hAnsi="Times New Roman" w:eastAsia="Times New Roman"/>
          <w:color w:val="000000"/>
          <w:sz w:val="24"/>
        </w:rPr>
        <w:t xml:space="preserve"> </w:t>
      </w:r>
      <w:hyperlink r:id="rIdReport3">
        <w:r>
          <w:rPr>
            <w:rFonts w:ascii="Times New Roman" w:hAnsi="Times New Roman" w:eastAsia="Times New Roman"/>
            <w:color w:val="0000FF"/>
            <w:sz w:val="24"/>
            <w:u w:val="single"/>
          </w:rPr>
          <w:t xml:space="preserve">Источник</w:t>
        </w:r>
      </w:hyperlink>
    </w:p>
    <w:p>
      <w:pPr>
        <w:jc w:val="left"/>
        <w:rPr>
          <w:lang w:val="ru-RU"/>
        </w:rPr>
        <w:spacing w:before="0" w:after="80" w:line="240" w:lineRule="auto"/>
        <w:ind w:firstLine="0"/>
      </w:pPr>
      <w:r>
        <w:rPr>
          <w:rFonts w:ascii="Times New Roman" w:hAnsi="Times New Roman" w:eastAsia="Times New Roman"/>
          <w:color w:val="000000"/>
          <w:sz w:val="24"/>
        </w:rPr>
        <w:t xml:space="preserve">[4] Bhatia G. et al. FinTral A Family of GPT-4 Level Multimodal Financial Large Language Models. Findings of ACL. 2024. P. 13064-13087.</w:t>
      </w:r>
      <w:r>
        <w:rPr>
          <w:rFonts w:ascii="Times New Roman" w:hAnsi="Times New Roman" w:eastAsia="Times New Roman"/>
          <w:color w:val="000000"/>
          <w:sz w:val="24"/>
        </w:rPr>
        <w:t xml:space="preserve"> </w:t>
      </w:r>
      <w:hyperlink r:id="rIdReport4">
        <w:r>
          <w:rPr>
            <w:rFonts w:ascii="Times New Roman" w:hAnsi="Times New Roman" w:eastAsia="Times New Roman"/>
            <w:color w:val="0000FF"/>
            <w:sz w:val="24"/>
            <w:u w:val="single"/>
          </w:rPr>
          <w:t xml:space="preserve">Источник</w:t>
        </w:r>
      </w:hyperlink>
    </w:p>
    <w:p>
      <w:pPr>
        <w:jc w:val="left"/>
        <w:rPr>
          <w:lang w:val="ru-RU"/>
        </w:rPr>
        <w:spacing w:before="0" w:after="80" w:line="240" w:lineRule="auto"/>
        <w:ind w:firstLine="0"/>
      </w:pPr>
      <w:r>
        <w:rPr>
          <w:rFonts w:ascii="Times New Roman" w:hAnsi="Times New Roman" w:eastAsia="Times New Roman"/>
          <w:color w:val="000000"/>
          <w:sz w:val="24"/>
        </w:rPr>
        <w:t xml:space="preserve">[5] Bai S. et al. Qwen2.5-VL Technical Report. 2025. arXiv:2502.13923.</w:t>
      </w:r>
      <w:r>
        <w:rPr>
          <w:rFonts w:ascii="Times New Roman" w:hAnsi="Times New Roman" w:eastAsia="Times New Roman"/>
          <w:color w:val="000000"/>
          <w:sz w:val="24"/>
        </w:rPr>
        <w:t xml:space="preserve"> </w:t>
      </w:r>
      <w:hyperlink r:id="rIdReport5">
        <w:r>
          <w:rPr>
            <w:rFonts w:ascii="Times New Roman" w:hAnsi="Times New Roman" w:eastAsia="Times New Roman"/>
            <w:color w:val="0000FF"/>
            <w:sz w:val="24"/>
            <w:u w:val="single"/>
          </w:rPr>
          <w:t xml:space="preserve">Источник</w:t>
        </w:r>
      </w:hyperlink>
    </w:p>
    <w:p>
      <w:pPr>
        <w:jc w:val="left"/>
        <w:rPr>
          <w:lang w:val="ru-RU"/>
        </w:rPr>
        <w:spacing w:before="0" w:after="80" w:line="240" w:lineRule="auto"/>
        <w:ind w:firstLine="0"/>
      </w:pPr>
      <w:r>
        <w:rPr>
          <w:rFonts w:ascii="Times New Roman" w:hAnsi="Times New Roman" w:eastAsia="Times New Roman"/>
          <w:color w:val="000000"/>
          <w:sz w:val="24"/>
        </w:rPr>
        <w:t xml:space="preserve">[6] Xu Y., Cohen S. B. StockNet dataset. Открытый архив сообщений и котировок.</w:t>
      </w:r>
      <w:r>
        <w:rPr>
          <w:rFonts w:ascii="Times New Roman" w:hAnsi="Times New Roman" w:eastAsia="Times New Roman"/>
          <w:color w:val="000000"/>
          <w:sz w:val="24"/>
        </w:rPr>
        <w:t xml:space="preserve"> </w:t>
      </w:r>
      <w:hyperlink r:id="rIdReport6">
        <w:r>
          <w:rPr>
            <w:rFonts w:ascii="Times New Roman" w:hAnsi="Times New Roman" w:eastAsia="Times New Roman"/>
            <w:color w:val="0000FF"/>
            <w:sz w:val="24"/>
            <w:u w:val="single"/>
          </w:rPr>
          <w:t xml:space="preserve">Источник</w:t>
        </w:r>
      </w:hyperlink>
    </w:p>
    <w:p>
      <w:pPr>
        <w:jc w:val="left"/>
        <w:rPr>
          <w:lang w:val="ru-RU"/>
        </w:rPr>
        <w:spacing w:before="0" w:after="80" w:line="240" w:lineRule="auto"/>
        <w:ind w:firstLine="0"/>
      </w:pPr>
      <w:r>
        <w:rPr>
          <w:rFonts w:ascii="Times New Roman" w:hAnsi="Times New Roman" w:eastAsia="Times New Roman"/>
          <w:color w:val="000000"/>
          <w:sz w:val="24"/>
        </w:rPr>
        <w:t xml:space="preserve">[7] Salesforce. BLIP-2 OPT-2.7B. Карточка модели, веса и примеры запуска.</w:t>
      </w:r>
      <w:r>
        <w:rPr>
          <w:rFonts w:ascii="Times New Roman" w:hAnsi="Times New Roman" w:eastAsia="Times New Roman"/>
          <w:color w:val="000000"/>
          <w:sz w:val="24"/>
        </w:rPr>
        <w:t xml:space="preserve"> </w:t>
      </w:r>
      <w:hyperlink r:id="rIdReport7">
        <w:r>
          <w:rPr>
            <w:rFonts w:ascii="Times New Roman" w:hAnsi="Times New Roman" w:eastAsia="Times New Roman"/>
            <w:color w:val="0000FF"/>
            <w:sz w:val="24"/>
            <w:u w:val="single"/>
          </w:rPr>
          <w:t xml:space="preserve">Источник</w:t>
        </w:r>
      </w:hyperlink>
    </w:p>
    <w:p>
      <w:pPr>
        <w:jc w:val="left"/>
        <w:rPr>
          <w:lang w:val="ru-RU"/>
        </w:rPr>
        <w:spacing w:before="0" w:after="80" w:line="240" w:lineRule="auto"/>
        <w:ind w:firstLine="0"/>
      </w:pPr>
      <w:r>
        <w:rPr>
          <w:rFonts w:ascii="Times New Roman" w:hAnsi="Times New Roman" w:eastAsia="Times New Roman"/>
          <w:color w:val="000000"/>
          <w:sz w:val="24"/>
        </w:rPr>
        <w:t xml:space="preserve">[8] Репозиторий лабораторных работ. Раздел второй работы содержит код и сохранённые результаты эксперимента.</w:t>
      </w:r>
      <w:r>
        <w:rPr>
          <w:rFonts w:ascii="Times New Roman" w:hAnsi="Times New Roman" w:eastAsia="Times New Roman"/>
          <w:color w:val="000000"/>
          <w:sz w:val="24"/>
        </w:rPr>
        <w:t xml:space="preserve"> </w:t>
      </w:r>
      <w:hyperlink r:id="rIdReport8">
        <w:r>
          <w:rPr>
            <w:rFonts w:ascii="Times New Roman" w:hAnsi="Times New Roman" w:eastAsia="Times New Roman"/>
            <w:color w:val="0000FF"/>
            <w:sz w:val="24"/>
            <w:u w:val="single"/>
          </w:rPr>
          <w:t xml:space="preserve">Источник</w:t>
        </w:r>
      </w:hyperlink>
    </w:p>
    <w:sectPr w:rsidR="00615AC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22467925">
    <w:abstractNumId w:val="8"/>
  </w:num>
  <w:num w:numId="2" w16cid:durableId="1721395100">
    <w:abstractNumId w:val="6"/>
  </w:num>
  <w:num w:numId="3" w16cid:durableId="1086995852">
    <w:abstractNumId w:val="5"/>
  </w:num>
  <w:num w:numId="4" w16cid:durableId="1498181999">
    <w:abstractNumId w:val="4"/>
  </w:num>
  <w:num w:numId="5" w16cid:durableId="936211868">
    <w:abstractNumId w:val="7"/>
  </w:num>
  <w:num w:numId="6" w16cid:durableId="1221745171">
    <w:abstractNumId w:val="3"/>
  </w:num>
  <w:num w:numId="7" w16cid:durableId="2020501762">
    <w:abstractNumId w:val="2"/>
  </w:num>
  <w:num w:numId="8" w16cid:durableId="415132527">
    <w:abstractNumId w:val="1"/>
  </w:num>
  <w:num w:numId="9" w16cid:durableId="7925999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2E3D96"/>
    <w:rsid w:val="00326F90"/>
    <w:rsid w:val="005B4ED8"/>
    <w:rsid w:val="00615ACC"/>
    <w:rsid w:val="00640224"/>
    <w:rsid w:val="00672B76"/>
    <w:rsid w:val="00795120"/>
    <w:rsid w:val="008D38D3"/>
    <w:rsid w:val="009C462B"/>
    <w:rsid w:val="00A5469E"/>
    <w:rsid w:val="00AA1D8D"/>
    <w:rsid w:val="00AC30C5"/>
    <w:rsid w:val="00AE4B1B"/>
    <w:rsid w:val="00B47730"/>
    <w:rsid w:val="00B8196B"/>
    <w:rsid w:val="00B97032"/>
    <w:rsid w:val="00C111FB"/>
    <w:rsid w:val="00CB0664"/>
    <w:rsid w:val="00CE1B48"/>
    <w:rsid w:val="00CE6F13"/>
    <w:rsid w:val="00E95EA9"/>
    <w:rsid w:val="00EC4D52"/>
    <w:rsid w:val="00F4251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0A34BBD"/>
  <w14:defaultImageDpi w14:val="300"/>
  <w15:docId w15:val="{094E410D-DAFD-4468-A038-6C6B05D13A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ind w:firstLine="0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ind w:firstLine="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ind w:firstLine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ind w:firstLine="0"/>
      <w:contextualSpacing/>
    </w:pPr>
    <w:rPr>
      <w:rFonts w:asciiTheme="majorHAnsi" w:eastAsiaTheme="majorEastAsia" w:hAnsiTheme="majorHAnsi" w:cstheme="majorBidi"/>
      <w:b/>
      <w:spacing w:val="5"/>
      <w:kern w:val="28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5" Type="http://schemas.openxmlformats.org/officeDocument/2006/relationships/webSettings" Target="webSettings.xml"/><Relationship Id="rId28" Type="http://schemas.openxmlformats.org/officeDocument/2006/relationships/theme" Target="theme/theme1.xml"/><Relationship Id="rId4" Type="http://schemas.openxmlformats.org/officeDocument/2006/relationships/settings" Target="settings.xml"/><Relationship Id="rId27" Type="http://schemas.openxmlformats.org/officeDocument/2006/relationships/fontTable" Target="fontTable.xml"/><Relationship Id="rIdReport1" Type="http://schemas.openxmlformats.org/officeDocument/2006/relationships/hyperlink" Target="https://aclanthology.org/P18-1183/" TargetMode="External"/><Relationship Id="rIdReport2" Type="http://schemas.openxmlformats.org/officeDocument/2006/relationships/hyperlink" Target="https://arxiv.org/abs/1908.10063" TargetMode="External"/><Relationship Id="rIdReport3" Type="http://schemas.openxmlformats.org/officeDocument/2006/relationships/hyperlink" Target="https://arxiv.org/abs/2103.00020" TargetMode="External"/><Relationship Id="rIdReport4" Type="http://schemas.openxmlformats.org/officeDocument/2006/relationships/hyperlink" Target="https://aclanthology.org/2024.findings-acl.774/" TargetMode="External"/><Relationship Id="rIdReport5" Type="http://schemas.openxmlformats.org/officeDocument/2006/relationships/hyperlink" Target="https://arxiv.org/abs/2502.13923" TargetMode="External"/><Relationship Id="rIdReport6" Type="http://schemas.openxmlformats.org/officeDocument/2006/relationships/hyperlink" Target="https://github.com/yumoxu/stocknet-dataset" TargetMode="External"/><Relationship Id="rIdReport7" Type="http://schemas.openxmlformats.org/officeDocument/2006/relationships/hyperlink" Target="https://huggingface.co/Salesforce/blip2-opt-2.7b" TargetMode="External"/><Relationship Id="rIdReport8" Type="http://schemas.openxmlformats.org/officeDocument/2006/relationships/hyperlink" Target="https://github.com/Serghei-S/Applied-machine-learning-tasks-labs-1-2/tree/main/lab-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34023AA-2964-4B57-9C1F-06007AD6B2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11</Pages>
  <Words>2292</Words>
  <Characters>13065</Characters>
  <Application>Microsoft Office Word</Application>
  <DocSecurity>0</DocSecurity>
  <Lines>108</Lines>
  <Paragraphs>30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Лабораторная работа 1 Большие языковые модели для оценки деятельности организаций</vt:lpstr>
      <vt:lpstr/>
    </vt:vector>
  </TitlesOfParts>
  <Manager/>
  <Company/>
  <LinksUpToDate>false</LinksUpToDate>
  <CharactersWithSpaces>15327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2 Мультимодальные модели для прогноза движения акций</dc:title>
  <dc:subject>Сравнение восьми моделей и схем на данных StockNet</dc:subject>
  <dc:creator>Никитин Петр Владимирович</dc:creator>
  <cp:keywords/>
  <dc:description>generated by python-docx</dc:description>
  <cp:lastModifiedBy>Serghei</cp:lastModifiedBy>
  <cp:revision>2</cp:revision>
  <dcterms:created xsi:type="dcterms:W3CDTF">2026-10-01T18:04:00Z</dcterms:created>
  <dcterms:modified xsi:type="dcterms:W3CDTF">2026-10-01T18:04:00Z</dcterms:modified>
  <cp:category/>
</cp:coreProperties>
</file>