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3BDC" w:rsidRPr="00D364A8" w:rsidRDefault="003F3BDC" w:rsidP="003F3BD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 w:eastAsia="ru-RU"/>
        </w:rPr>
      </w:pPr>
      <w:r w:rsidRPr="00D364A8">
        <w:rPr>
          <w:rFonts w:ascii="Times New Roman" w:hAnsi="Times New Roman" w:cs="Times New Roman"/>
          <w:b/>
          <w:sz w:val="28"/>
          <w:szCs w:val="28"/>
          <w:lang w:val="ru-RU" w:eastAsia="ru-RU"/>
        </w:rPr>
        <w:t>Министерство Образования, Культуры и Исследований</w:t>
      </w:r>
    </w:p>
    <w:p w:rsidR="003F3BDC" w:rsidRPr="00D364A8" w:rsidRDefault="003F3BDC" w:rsidP="003F3BD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 w:eastAsia="ru-RU"/>
        </w:rPr>
      </w:pPr>
      <w:r w:rsidRPr="00D364A8">
        <w:rPr>
          <w:rFonts w:ascii="Times New Roman" w:hAnsi="Times New Roman" w:cs="Times New Roman"/>
          <w:b/>
          <w:sz w:val="28"/>
          <w:szCs w:val="28"/>
          <w:lang w:val="ru-RU" w:eastAsia="ru-RU"/>
        </w:rPr>
        <w:t>Технический Университет Молдовы</w:t>
      </w:r>
    </w:p>
    <w:p w:rsidR="003F3BDC" w:rsidRPr="00D364A8" w:rsidRDefault="003F3BDC" w:rsidP="003F3BD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 w:eastAsia="ru-RU"/>
        </w:rPr>
      </w:pPr>
      <w:r w:rsidRPr="00D364A8">
        <w:rPr>
          <w:rFonts w:ascii="Times New Roman" w:hAnsi="Times New Roman" w:cs="Times New Roman"/>
          <w:b/>
          <w:sz w:val="28"/>
          <w:szCs w:val="28"/>
          <w:lang w:val="ru-RU" w:eastAsia="ru-RU"/>
        </w:rPr>
        <w:t>Факультет Вычислительной техники, Информатики и Микроэлектроники</w:t>
      </w:r>
    </w:p>
    <w:p w:rsidR="003F3BDC" w:rsidRPr="00EC3369" w:rsidRDefault="003F3BDC" w:rsidP="003F3BD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 w:eastAsia="ru-RU"/>
        </w:rPr>
      </w:pPr>
      <w:r w:rsidRPr="00D364A8">
        <w:rPr>
          <w:rFonts w:ascii="Times New Roman" w:hAnsi="Times New Roman" w:cs="Times New Roman"/>
          <w:b/>
          <w:sz w:val="28"/>
          <w:szCs w:val="28"/>
          <w:lang w:val="ru-RU" w:eastAsia="ru-RU"/>
        </w:rPr>
        <w:t>Департамент Информатики и Системной Инженерии</w:t>
      </w:r>
    </w:p>
    <w:p w:rsidR="003F3BDC" w:rsidRDefault="003F3BDC" w:rsidP="003F3BDC">
      <w:pPr>
        <w:spacing w:line="360" w:lineRule="auto"/>
        <w:jc w:val="center"/>
        <w:rPr>
          <w:rFonts w:ascii="Times New Roman" w:hAnsi="Times New Roman" w:cs="Times New Roman"/>
          <w:b/>
          <w:noProof/>
          <w:sz w:val="48"/>
          <w:szCs w:val="48"/>
          <w:lang w:val="ru-RU" w:eastAsia="ru-RU"/>
        </w:rPr>
      </w:pPr>
    </w:p>
    <w:p w:rsidR="003F3BDC" w:rsidRPr="00D364A8" w:rsidRDefault="003F3BDC" w:rsidP="003F3BDC">
      <w:pPr>
        <w:spacing w:line="360" w:lineRule="auto"/>
        <w:jc w:val="center"/>
        <w:rPr>
          <w:rFonts w:ascii="Times New Roman" w:hAnsi="Times New Roman" w:cs="Times New Roman"/>
          <w:b/>
          <w:noProof/>
          <w:sz w:val="48"/>
          <w:szCs w:val="48"/>
          <w:lang w:val="ru-RU" w:eastAsia="ru-RU"/>
        </w:rPr>
      </w:pPr>
      <w:r>
        <w:rPr>
          <w:rFonts w:ascii="Times New Roman" w:hAnsi="Times New Roman" w:cs="Times New Roman"/>
          <w:b/>
          <w:noProof/>
          <w:sz w:val="48"/>
          <w:szCs w:val="48"/>
          <w:lang w:val="ru-RU" w:eastAsia="ru-RU"/>
        </w:rPr>
        <w:t>Статья</w:t>
      </w:r>
    </w:p>
    <w:p w:rsidR="003F3BDC" w:rsidRPr="003F3BDC" w:rsidRDefault="003F3BDC" w:rsidP="003F3BDC">
      <w:pPr>
        <w:spacing w:line="360" w:lineRule="auto"/>
        <w:jc w:val="center"/>
        <w:rPr>
          <w:rFonts w:ascii="Times New Roman" w:hAnsi="Times New Roman" w:cs="Times New Roman"/>
          <w:b/>
          <w:noProof/>
          <w:sz w:val="40"/>
          <w:szCs w:val="40"/>
          <w:lang w:val="ru-RU" w:eastAsia="ru-RU"/>
        </w:rPr>
      </w:pPr>
      <w:r>
        <w:rPr>
          <w:rFonts w:ascii="Times New Roman" w:hAnsi="Times New Roman" w:cs="Times New Roman"/>
          <w:b/>
          <w:noProof/>
          <w:sz w:val="44"/>
          <w:szCs w:val="44"/>
          <w:lang w:val="ru-RU" w:eastAsia="ru-RU"/>
        </w:rPr>
        <w:t xml:space="preserve">На </w:t>
      </w:r>
      <w:r>
        <w:rPr>
          <w:rFonts w:ascii="Times New Roman" w:hAnsi="Times New Roman" w:cs="Times New Roman"/>
          <w:b/>
          <w:noProof/>
          <w:sz w:val="40"/>
          <w:szCs w:val="40"/>
          <w:lang w:val="ru-RU" w:eastAsia="ru-RU"/>
        </w:rPr>
        <w:t>тему</w:t>
      </w:r>
      <w:r w:rsidRPr="00323874">
        <w:rPr>
          <w:rFonts w:ascii="Times New Roman" w:hAnsi="Times New Roman" w:cs="Times New Roman"/>
          <w:b/>
          <w:noProof/>
          <w:sz w:val="40"/>
          <w:szCs w:val="40"/>
          <w:lang w:val="ru-RU" w:eastAsia="ru-RU"/>
        </w:rPr>
        <w:t>: “</w:t>
      </w:r>
      <w:r w:rsidRPr="00402ED8">
        <w:rPr>
          <w:lang w:val="ru-RU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ru-RU"/>
        </w:rPr>
        <w:t>Ожирение во всех странах</w:t>
      </w:r>
      <w:r w:rsidRPr="003F3BDC">
        <w:rPr>
          <w:rFonts w:ascii="Times New Roman" w:hAnsi="Times New Roman" w:cs="Times New Roman"/>
          <w:sz w:val="36"/>
          <w:szCs w:val="36"/>
          <w:lang w:val="ru-RU"/>
        </w:rPr>
        <w:t>.</w:t>
      </w:r>
      <w:r w:rsidRPr="003F3BDC">
        <w:rPr>
          <w:rFonts w:ascii="Times New Roman" w:hAnsi="Times New Roman" w:cs="Times New Roman"/>
          <w:b/>
          <w:noProof/>
          <w:sz w:val="40"/>
          <w:szCs w:val="40"/>
          <w:lang w:val="ru-RU" w:eastAsia="ru-RU"/>
        </w:rPr>
        <w:t>”</w:t>
      </w:r>
    </w:p>
    <w:p w:rsidR="003F3BDC" w:rsidRPr="003F3BDC" w:rsidRDefault="003F3BDC" w:rsidP="003F3BDC">
      <w:pPr>
        <w:spacing w:line="360" w:lineRule="auto"/>
        <w:jc w:val="center"/>
        <w:rPr>
          <w:rFonts w:ascii="Times New Roman" w:hAnsi="Times New Roman" w:cs="Times New Roman"/>
          <w:b/>
          <w:noProof/>
          <w:sz w:val="40"/>
          <w:szCs w:val="40"/>
          <w:lang w:eastAsia="ru-RU"/>
        </w:rPr>
      </w:pPr>
      <w:r>
        <w:rPr>
          <w:rFonts w:ascii="Times New Roman" w:hAnsi="Times New Roman" w:cs="Times New Roman"/>
          <w:b/>
          <w:noProof/>
          <w:sz w:val="40"/>
          <w:szCs w:val="40"/>
          <w:lang w:eastAsia="ru-RU"/>
        </w:rPr>
        <w:t>Disciplina</w:t>
      </w:r>
      <w:r w:rsidRPr="00FA7046">
        <w:rPr>
          <w:rFonts w:ascii="Times New Roman" w:hAnsi="Times New Roman" w:cs="Times New Roman"/>
          <w:b/>
          <w:noProof/>
          <w:sz w:val="40"/>
          <w:szCs w:val="40"/>
          <w:lang w:eastAsia="ru-RU"/>
        </w:rPr>
        <w:t xml:space="preserve">: </w:t>
      </w:r>
      <w:r>
        <w:rPr>
          <w:rFonts w:ascii="Times New Roman" w:hAnsi="Times New Roman" w:cs="Times New Roman"/>
          <w:b/>
          <w:noProof/>
          <w:sz w:val="40"/>
          <w:szCs w:val="40"/>
          <w:lang w:eastAsia="ru-RU"/>
        </w:rPr>
        <w:t>Analiza datelor</w:t>
      </w:r>
    </w:p>
    <w:p w:rsidR="003F3BDC" w:rsidRPr="00FA7046" w:rsidRDefault="003F3BDC" w:rsidP="003F3BDC">
      <w:pPr>
        <w:spacing w:line="360" w:lineRule="auto"/>
        <w:jc w:val="center"/>
        <w:rPr>
          <w:rFonts w:ascii="Times New Roman" w:hAnsi="Times New Roman" w:cs="Times New Roman"/>
          <w:b/>
          <w:noProof/>
          <w:sz w:val="32"/>
          <w:szCs w:val="32"/>
          <w:lang w:eastAsia="ru-RU"/>
        </w:rPr>
      </w:pPr>
    </w:p>
    <w:p w:rsidR="003F3BDC" w:rsidRPr="00844089" w:rsidRDefault="003F3BDC" w:rsidP="003F3BDC">
      <w:pPr>
        <w:tabs>
          <w:tab w:val="left" w:pos="3402"/>
        </w:tabs>
        <w:spacing w:line="360" w:lineRule="auto"/>
        <w:rPr>
          <w:rFonts w:ascii="Times New Roman" w:hAnsi="Times New Roman" w:cs="Times New Roman"/>
          <w:b/>
          <w:noProof/>
          <w:sz w:val="32"/>
          <w:szCs w:val="32"/>
          <w:lang w:val="ru-RU" w:eastAsia="ru-RU"/>
        </w:rPr>
      </w:pPr>
      <w:r w:rsidRPr="00FA7046"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tab/>
        <w:t xml:space="preserve">   </w:t>
      </w:r>
      <w:r w:rsidRPr="000D183E">
        <w:rPr>
          <w:rFonts w:ascii="Times New Roman" w:hAnsi="Times New Roman" w:cs="Times New Roman"/>
          <w:b/>
          <w:noProof/>
          <w:sz w:val="32"/>
          <w:szCs w:val="32"/>
          <w:lang w:val="ru-RU" w:eastAsia="ru-RU"/>
        </w:rPr>
        <w:t>Выполнил</w:t>
      </w:r>
      <w:r w:rsidRPr="008152DD">
        <w:rPr>
          <w:rFonts w:ascii="Times New Roman" w:hAnsi="Times New Roman" w:cs="Times New Roman"/>
          <w:b/>
          <w:noProof/>
          <w:sz w:val="32"/>
          <w:szCs w:val="32"/>
          <w:lang w:val="ru-RU" w:eastAsia="ru-RU"/>
        </w:rPr>
        <w:t xml:space="preserve">:  </w:t>
      </w:r>
      <w:r w:rsidRPr="008152DD">
        <w:rPr>
          <w:rFonts w:ascii="Times New Roman" w:hAnsi="Times New Roman" w:cs="Times New Roman"/>
          <w:b/>
          <w:noProof/>
          <w:sz w:val="32"/>
          <w:szCs w:val="32"/>
          <w:lang w:val="ru-RU" w:eastAsia="ru-RU"/>
        </w:rPr>
        <w:tab/>
      </w:r>
      <w:r>
        <w:rPr>
          <w:rFonts w:ascii="Times New Roman" w:hAnsi="Times New Roman" w:cs="Times New Roman"/>
          <w:b/>
          <w:i/>
          <w:noProof/>
          <w:sz w:val="32"/>
          <w:szCs w:val="32"/>
          <w:lang w:val="ru-RU" w:eastAsia="ru-RU"/>
        </w:rPr>
        <w:t>Рашку Сергей</w:t>
      </w:r>
    </w:p>
    <w:p w:rsidR="003F3BDC" w:rsidRPr="003F3BDC" w:rsidRDefault="003F3BDC" w:rsidP="003F3BDC">
      <w:pPr>
        <w:tabs>
          <w:tab w:val="left" w:pos="3402"/>
        </w:tabs>
        <w:spacing w:line="360" w:lineRule="auto"/>
        <w:rPr>
          <w:rFonts w:ascii="Times New Roman" w:hAnsi="Times New Roman" w:cs="Times New Roman"/>
          <w:b/>
          <w:noProof/>
          <w:sz w:val="32"/>
          <w:szCs w:val="32"/>
          <w:lang w:val="ru-RU" w:eastAsia="ru-RU"/>
        </w:rPr>
      </w:pPr>
      <w:r w:rsidRPr="003F3BDC">
        <w:rPr>
          <w:rFonts w:ascii="Times New Roman" w:hAnsi="Times New Roman" w:cs="Times New Roman"/>
          <w:b/>
          <w:noProof/>
          <w:sz w:val="32"/>
          <w:szCs w:val="32"/>
          <w:lang w:val="ru-RU" w:eastAsia="ru-RU"/>
        </w:rPr>
        <w:tab/>
        <w:t xml:space="preserve">   </w:t>
      </w:r>
      <w:r>
        <w:rPr>
          <w:rFonts w:ascii="Times New Roman" w:hAnsi="Times New Roman" w:cs="Times New Roman"/>
          <w:b/>
          <w:noProof/>
          <w:sz w:val="32"/>
          <w:szCs w:val="32"/>
          <w:lang w:val="ru-RU" w:eastAsia="ru-RU"/>
        </w:rPr>
        <w:t>Группа</w:t>
      </w:r>
      <w:r w:rsidRPr="003F3BDC">
        <w:rPr>
          <w:rFonts w:ascii="Times New Roman" w:hAnsi="Times New Roman" w:cs="Times New Roman"/>
          <w:b/>
          <w:noProof/>
          <w:sz w:val="32"/>
          <w:szCs w:val="32"/>
          <w:lang w:val="ru-RU" w:eastAsia="ru-RU"/>
        </w:rPr>
        <w:t xml:space="preserve">:  </w:t>
      </w:r>
      <w:r w:rsidRPr="003F3BDC">
        <w:rPr>
          <w:rFonts w:ascii="Times New Roman" w:hAnsi="Times New Roman" w:cs="Times New Roman"/>
          <w:b/>
          <w:noProof/>
          <w:sz w:val="32"/>
          <w:szCs w:val="32"/>
          <w:lang w:val="ru-RU" w:eastAsia="ru-RU"/>
        </w:rPr>
        <w:tab/>
      </w:r>
      <w:r w:rsidRPr="003F3BDC">
        <w:rPr>
          <w:rFonts w:ascii="Times New Roman" w:hAnsi="Times New Roman" w:cs="Times New Roman"/>
          <w:b/>
          <w:noProof/>
          <w:sz w:val="32"/>
          <w:szCs w:val="32"/>
          <w:lang w:val="ru-RU" w:eastAsia="ru-RU"/>
        </w:rPr>
        <w:tab/>
      </w:r>
      <w:r w:rsidRPr="000D183E">
        <w:rPr>
          <w:rFonts w:ascii="Times New Roman" w:hAnsi="Times New Roman" w:cs="Times New Roman"/>
          <w:b/>
          <w:i/>
          <w:noProof/>
          <w:sz w:val="32"/>
          <w:szCs w:val="32"/>
          <w:lang w:eastAsia="ru-RU"/>
        </w:rPr>
        <w:t>IA</w:t>
      </w:r>
      <w:r w:rsidRPr="003F3BDC">
        <w:rPr>
          <w:rFonts w:ascii="Times New Roman" w:hAnsi="Times New Roman" w:cs="Times New Roman"/>
          <w:b/>
          <w:i/>
          <w:noProof/>
          <w:sz w:val="32"/>
          <w:szCs w:val="32"/>
          <w:lang w:val="ru-RU" w:eastAsia="ru-RU"/>
        </w:rPr>
        <w:t>-214</w:t>
      </w:r>
    </w:p>
    <w:p w:rsidR="003F3BDC" w:rsidRPr="00844089" w:rsidRDefault="003F3BDC" w:rsidP="003F3BDC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F3BDC">
        <w:rPr>
          <w:rFonts w:ascii="Times New Roman" w:hAnsi="Times New Roman" w:cs="Times New Roman"/>
          <w:b/>
          <w:noProof/>
          <w:sz w:val="32"/>
          <w:szCs w:val="32"/>
          <w:lang w:val="ru-RU" w:eastAsia="ru-RU"/>
        </w:rPr>
        <w:tab/>
      </w:r>
      <w:r w:rsidRPr="003F3BDC">
        <w:rPr>
          <w:rFonts w:ascii="Times New Roman" w:hAnsi="Times New Roman" w:cs="Times New Roman"/>
          <w:b/>
          <w:noProof/>
          <w:sz w:val="32"/>
          <w:szCs w:val="32"/>
          <w:lang w:val="ru-RU" w:eastAsia="ru-RU"/>
        </w:rPr>
        <w:tab/>
      </w:r>
      <w:r w:rsidRPr="003F3BDC">
        <w:rPr>
          <w:rFonts w:ascii="Times New Roman" w:hAnsi="Times New Roman" w:cs="Times New Roman"/>
          <w:b/>
          <w:noProof/>
          <w:sz w:val="32"/>
          <w:szCs w:val="32"/>
          <w:lang w:val="ru-RU" w:eastAsia="ru-RU"/>
        </w:rPr>
        <w:tab/>
      </w:r>
      <w:r w:rsidRPr="003F3BDC">
        <w:rPr>
          <w:rFonts w:ascii="Times New Roman" w:hAnsi="Times New Roman" w:cs="Times New Roman"/>
          <w:b/>
          <w:noProof/>
          <w:sz w:val="32"/>
          <w:szCs w:val="32"/>
          <w:lang w:val="ru-RU" w:eastAsia="ru-RU"/>
        </w:rPr>
        <w:tab/>
      </w:r>
      <w:r w:rsidRPr="003F3BDC">
        <w:rPr>
          <w:rFonts w:ascii="Times New Roman" w:hAnsi="Times New Roman" w:cs="Times New Roman"/>
          <w:b/>
          <w:noProof/>
          <w:sz w:val="32"/>
          <w:szCs w:val="32"/>
          <w:lang w:val="ru-RU" w:eastAsia="ru-RU"/>
        </w:rPr>
        <w:tab/>
      </w:r>
      <w:r w:rsidRPr="0084408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</w:p>
    <w:p w:rsidR="003F3BDC" w:rsidRPr="00844089" w:rsidRDefault="003F3BDC" w:rsidP="003F3BDC">
      <w:pPr>
        <w:spacing w:line="360" w:lineRule="auto"/>
        <w:jc w:val="center"/>
        <w:rPr>
          <w:sz w:val="32"/>
          <w:szCs w:val="32"/>
          <w:lang w:eastAsia="ru-RU"/>
        </w:rPr>
      </w:pPr>
    </w:p>
    <w:p w:rsidR="003F3BDC" w:rsidRPr="00844089" w:rsidRDefault="003F3BDC" w:rsidP="003F3BDC">
      <w:pPr>
        <w:spacing w:line="360" w:lineRule="auto"/>
        <w:jc w:val="center"/>
        <w:rPr>
          <w:sz w:val="32"/>
          <w:szCs w:val="32"/>
          <w:lang w:eastAsia="ru-RU"/>
        </w:rPr>
      </w:pPr>
    </w:p>
    <w:p w:rsidR="003F3BDC" w:rsidRPr="00844089" w:rsidRDefault="003F3BDC" w:rsidP="003F3BDC">
      <w:pPr>
        <w:spacing w:line="360" w:lineRule="auto"/>
        <w:jc w:val="center"/>
        <w:rPr>
          <w:sz w:val="32"/>
          <w:szCs w:val="32"/>
          <w:lang w:eastAsia="ru-RU"/>
        </w:rPr>
      </w:pPr>
    </w:p>
    <w:p w:rsidR="003F3BDC" w:rsidRDefault="003F3BDC" w:rsidP="003F3BDC">
      <w:pPr>
        <w:jc w:val="center"/>
        <w:rPr>
          <w:rFonts w:ascii="Times New Roman" w:hAnsi="Times New Roman" w:cs="Times New Roman"/>
          <w:b/>
          <w:sz w:val="32"/>
          <w:szCs w:val="32"/>
          <w:lang w:val="ru-RU" w:eastAsia="ru-RU"/>
        </w:rPr>
      </w:pPr>
    </w:p>
    <w:p w:rsidR="003F3BDC" w:rsidRDefault="003F3BDC" w:rsidP="003F3BDC">
      <w:pPr>
        <w:jc w:val="center"/>
        <w:rPr>
          <w:rFonts w:ascii="Times New Roman" w:hAnsi="Times New Roman" w:cs="Times New Roman"/>
          <w:b/>
          <w:sz w:val="32"/>
          <w:szCs w:val="32"/>
          <w:lang w:val="ru-RU" w:eastAsia="ru-RU"/>
        </w:rPr>
      </w:pPr>
    </w:p>
    <w:p w:rsidR="003F3BDC" w:rsidRDefault="003F3BDC" w:rsidP="003F3BDC">
      <w:pPr>
        <w:jc w:val="center"/>
        <w:rPr>
          <w:rFonts w:ascii="Times New Roman" w:hAnsi="Times New Roman" w:cs="Times New Roman"/>
          <w:b/>
          <w:sz w:val="32"/>
          <w:szCs w:val="32"/>
          <w:lang w:val="ru-RU" w:eastAsia="ru-RU"/>
        </w:rPr>
      </w:pPr>
    </w:p>
    <w:p w:rsidR="007633B8" w:rsidRDefault="003F3BDC" w:rsidP="003F3BDC">
      <w:pPr>
        <w:jc w:val="center"/>
        <w:rPr>
          <w:rFonts w:ascii="Times New Roman" w:hAnsi="Times New Roman" w:cs="Times New Roman"/>
          <w:b/>
          <w:sz w:val="32"/>
          <w:szCs w:val="32"/>
          <w:lang w:val="ru-RU" w:eastAsia="ru-RU"/>
        </w:rPr>
      </w:pPr>
      <w:r w:rsidRPr="000D183E">
        <w:rPr>
          <w:rFonts w:ascii="Times New Roman" w:hAnsi="Times New Roman" w:cs="Times New Roman"/>
          <w:b/>
          <w:sz w:val="32"/>
          <w:szCs w:val="32"/>
          <w:lang w:val="ru-RU" w:eastAsia="ru-RU"/>
        </w:rPr>
        <w:t>КИШИНЕВ</w:t>
      </w:r>
      <w:r w:rsidRPr="008152DD">
        <w:rPr>
          <w:rFonts w:ascii="Times New Roman" w:hAnsi="Times New Roman" w:cs="Times New Roman"/>
          <w:b/>
          <w:sz w:val="32"/>
          <w:szCs w:val="32"/>
          <w:lang w:val="ru-RU" w:eastAsia="ru-RU"/>
        </w:rPr>
        <w:t xml:space="preserve"> 2023</w:t>
      </w:r>
    </w:p>
    <w:sdt>
      <w:sdtPr>
        <w:rPr>
          <w:rFonts w:ascii="Times New Roman" w:hAnsi="Times New Roman" w:cs="Times New Roman"/>
          <w:lang w:val="ru-RU"/>
        </w:rPr>
        <w:id w:val="1339120271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sz w:val="22"/>
          <w:szCs w:val="22"/>
        </w:rPr>
      </w:sdtEndPr>
      <w:sdtContent>
        <w:p w:rsidR="00B4087A" w:rsidRPr="00B4087A" w:rsidRDefault="00B4087A">
          <w:pPr>
            <w:pStyle w:val="a5"/>
            <w:rPr>
              <w:rFonts w:ascii="Times New Roman" w:hAnsi="Times New Roman" w:cs="Times New Roman"/>
            </w:rPr>
          </w:pPr>
          <w:r w:rsidRPr="00B4087A">
            <w:rPr>
              <w:rFonts w:ascii="Times New Roman" w:hAnsi="Times New Roman" w:cs="Times New Roman"/>
              <w:color w:val="000000" w:themeColor="text1"/>
              <w:lang w:val="ru-RU"/>
            </w:rPr>
            <w:t>Оглавление</w:t>
          </w:r>
        </w:p>
        <w:p w:rsidR="00B4087A" w:rsidRPr="00B4087A" w:rsidRDefault="00B4087A">
          <w:pPr>
            <w:pStyle w:val="11"/>
            <w:tabs>
              <w:tab w:val="right" w:leader="dot" w:pos="9679"/>
            </w:tabs>
            <w:rPr>
              <w:rFonts w:ascii="Times New Roman" w:hAnsi="Times New Roman" w:cs="Times New Roman"/>
              <w:noProof/>
            </w:rPr>
          </w:pPr>
          <w:r w:rsidRPr="00B4087A">
            <w:rPr>
              <w:rFonts w:ascii="Times New Roman" w:hAnsi="Times New Roman" w:cs="Times New Roman"/>
            </w:rPr>
            <w:fldChar w:fldCharType="begin"/>
          </w:r>
          <w:r w:rsidRPr="00B4087A">
            <w:rPr>
              <w:rFonts w:ascii="Times New Roman" w:hAnsi="Times New Roman" w:cs="Times New Roman"/>
            </w:rPr>
            <w:instrText xml:space="preserve"> TOC \o "1-3" \h \z \u </w:instrText>
          </w:r>
          <w:r w:rsidRPr="00B4087A">
            <w:rPr>
              <w:rFonts w:ascii="Times New Roman" w:hAnsi="Times New Roman" w:cs="Times New Roman"/>
            </w:rPr>
            <w:fldChar w:fldCharType="separate"/>
          </w:r>
          <w:hyperlink w:anchor="_Toc153860702" w:history="1">
            <w:r w:rsidRPr="00B4087A">
              <w:rPr>
                <w:rStyle w:val="a4"/>
                <w:rFonts w:ascii="Times New Roman" w:hAnsi="Times New Roman" w:cs="Times New Roman"/>
                <w:b/>
                <w:noProof/>
                <w:lang w:val="ru-RU"/>
              </w:rPr>
              <w:t>Аннотация:</w:t>
            </w:r>
            <w:r w:rsidRPr="00B4087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4087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4087A">
              <w:rPr>
                <w:rFonts w:ascii="Times New Roman" w:hAnsi="Times New Roman" w:cs="Times New Roman"/>
                <w:noProof/>
                <w:webHidden/>
              </w:rPr>
              <w:instrText xml:space="preserve"> PAGEREF _Toc153860702 \h </w:instrText>
            </w:r>
            <w:r w:rsidRPr="00B4087A">
              <w:rPr>
                <w:rFonts w:ascii="Times New Roman" w:hAnsi="Times New Roman" w:cs="Times New Roman"/>
                <w:noProof/>
                <w:webHidden/>
              </w:rPr>
            </w:r>
            <w:r w:rsidRPr="00B4087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4087A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B4087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B4087A" w:rsidRPr="00B4087A" w:rsidRDefault="00B4087A">
          <w:pPr>
            <w:pStyle w:val="11"/>
            <w:tabs>
              <w:tab w:val="right" w:leader="dot" w:pos="9679"/>
            </w:tabs>
            <w:rPr>
              <w:rFonts w:ascii="Times New Roman" w:hAnsi="Times New Roman" w:cs="Times New Roman"/>
              <w:noProof/>
            </w:rPr>
          </w:pPr>
          <w:hyperlink w:anchor="_Toc153860703" w:history="1">
            <w:r w:rsidRPr="00B4087A">
              <w:rPr>
                <w:rStyle w:val="a4"/>
                <w:rFonts w:ascii="Times New Roman" w:hAnsi="Times New Roman" w:cs="Times New Roman"/>
                <w:b/>
                <w:noProof/>
                <w:lang w:val="ru-RU"/>
              </w:rPr>
              <w:t>Ключевые слова:</w:t>
            </w:r>
            <w:r w:rsidRPr="00B4087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4087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4087A">
              <w:rPr>
                <w:rFonts w:ascii="Times New Roman" w:hAnsi="Times New Roman" w:cs="Times New Roman"/>
                <w:noProof/>
                <w:webHidden/>
              </w:rPr>
              <w:instrText xml:space="preserve"> PAGEREF _Toc153860703 \h </w:instrText>
            </w:r>
            <w:r w:rsidRPr="00B4087A">
              <w:rPr>
                <w:rFonts w:ascii="Times New Roman" w:hAnsi="Times New Roman" w:cs="Times New Roman"/>
                <w:noProof/>
                <w:webHidden/>
              </w:rPr>
            </w:r>
            <w:r w:rsidRPr="00B4087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4087A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B4087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B4087A" w:rsidRPr="00B4087A" w:rsidRDefault="00B4087A">
          <w:pPr>
            <w:pStyle w:val="11"/>
            <w:tabs>
              <w:tab w:val="right" w:leader="dot" w:pos="9679"/>
            </w:tabs>
            <w:rPr>
              <w:rFonts w:ascii="Times New Roman" w:hAnsi="Times New Roman" w:cs="Times New Roman"/>
              <w:noProof/>
            </w:rPr>
          </w:pPr>
          <w:hyperlink w:anchor="_Toc153860704" w:history="1">
            <w:r w:rsidRPr="00B4087A">
              <w:rPr>
                <w:rStyle w:val="a4"/>
                <w:rFonts w:ascii="Times New Roman" w:hAnsi="Times New Roman" w:cs="Times New Roman"/>
                <w:b/>
                <w:noProof/>
                <w:lang w:val="ru-RU"/>
              </w:rPr>
              <w:t>Методы</w:t>
            </w:r>
            <w:r w:rsidRPr="00B4087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4087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4087A">
              <w:rPr>
                <w:rFonts w:ascii="Times New Roman" w:hAnsi="Times New Roman" w:cs="Times New Roman"/>
                <w:noProof/>
                <w:webHidden/>
              </w:rPr>
              <w:instrText xml:space="preserve"> PAGEREF _Toc153860704 \h </w:instrText>
            </w:r>
            <w:r w:rsidRPr="00B4087A">
              <w:rPr>
                <w:rFonts w:ascii="Times New Roman" w:hAnsi="Times New Roman" w:cs="Times New Roman"/>
                <w:noProof/>
                <w:webHidden/>
              </w:rPr>
            </w:r>
            <w:r w:rsidRPr="00B4087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4087A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B4087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B4087A" w:rsidRPr="00B4087A" w:rsidRDefault="00B4087A">
          <w:pPr>
            <w:pStyle w:val="11"/>
            <w:tabs>
              <w:tab w:val="right" w:leader="dot" w:pos="9679"/>
            </w:tabs>
            <w:rPr>
              <w:rFonts w:ascii="Times New Roman" w:hAnsi="Times New Roman" w:cs="Times New Roman"/>
              <w:noProof/>
            </w:rPr>
          </w:pPr>
          <w:hyperlink w:anchor="_Toc153860705" w:history="1">
            <w:r w:rsidRPr="00B4087A">
              <w:rPr>
                <w:rStyle w:val="a4"/>
                <w:rFonts w:ascii="Times New Roman" w:hAnsi="Times New Roman" w:cs="Times New Roman"/>
                <w:b/>
                <w:noProof/>
                <w:lang w:val="ru-RU"/>
              </w:rPr>
              <w:t>Вывод</w:t>
            </w:r>
            <w:r w:rsidRPr="00B4087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4087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4087A">
              <w:rPr>
                <w:rFonts w:ascii="Times New Roman" w:hAnsi="Times New Roman" w:cs="Times New Roman"/>
                <w:noProof/>
                <w:webHidden/>
              </w:rPr>
              <w:instrText xml:space="preserve"> PAGEREF _Toc153860705 \h </w:instrText>
            </w:r>
            <w:r w:rsidRPr="00B4087A">
              <w:rPr>
                <w:rFonts w:ascii="Times New Roman" w:hAnsi="Times New Roman" w:cs="Times New Roman"/>
                <w:noProof/>
                <w:webHidden/>
              </w:rPr>
            </w:r>
            <w:r w:rsidRPr="00B4087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4087A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B4087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B4087A" w:rsidRPr="00B4087A" w:rsidRDefault="00B4087A">
          <w:pPr>
            <w:pStyle w:val="11"/>
            <w:tabs>
              <w:tab w:val="right" w:leader="dot" w:pos="9679"/>
            </w:tabs>
            <w:rPr>
              <w:rFonts w:ascii="Times New Roman" w:hAnsi="Times New Roman" w:cs="Times New Roman"/>
              <w:noProof/>
            </w:rPr>
          </w:pPr>
          <w:hyperlink w:anchor="_Toc153860706" w:history="1">
            <w:r w:rsidRPr="00B4087A">
              <w:rPr>
                <w:rStyle w:val="a4"/>
                <w:rFonts w:ascii="Times New Roman" w:hAnsi="Times New Roman" w:cs="Times New Roman"/>
                <w:b/>
                <w:noProof/>
                <w:lang w:val="ru-RU"/>
              </w:rPr>
              <w:t>Библиография</w:t>
            </w:r>
            <w:r w:rsidRPr="00B4087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4087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4087A">
              <w:rPr>
                <w:rFonts w:ascii="Times New Roman" w:hAnsi="Times New Roman" w:cs="Times New Roman"/>
                <w:noProof/>
                <w:webHidden/>
              </w:rPr>
              <w:instrText xml:space="preserve"> PAGEREF _Toc153860706 \h </w:instrText>
            </w:r>
            <w:r w:rsidRPr="00B4087A">
              <w:rPr>
                <w:rFonts w:ascii="Times New Roman" w:hAnsi="Times New Roman" w:cs="Times New Roman"/>
                <w:noProof/>
                <w:webHidden/>
              </w:rPr>
            </w:r>
            <w:r w:rsidRPr="00B4087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4087A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B4087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B4087A" w:rsidRPr="00B4087A" w:rsidRDefault="00B4087A">
          <w:pPr>
            <w:rPr>
              <w:rFonts w:ascii="Times New Roman" w:hAnsi="Times New Roman" w:cs="Times New Roman"/>
            </w:rPr>
          </w:pPr>
          <w:r w:rsidRPr="00B4087A">
            <w:rPr>
              <w:rFonts w:ascii="Times New Roman" w:hAnsi="Times New Roman" w:cs="Times New Roman"/>
              <w:b/>
              <w:bCs/>
              <w:lang w:val="ru-RU"/>
            </w:rPr>
            <w:fldChar w:fldCharType="end"/>
          </w:r>
        </w:p>
      </w:sdtContent>
    </w:sdt>
    <w:p w:rsidR="00B4087A" w:rsidRPr="00B4087A" w:rsidRDefault="00B4087A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4087A">
        <w:rPr>
          <w:rFonts w:ascii="Times New Roman" w:hAnsi="Times New Roman" w:cs="Times New Roman"/>
          <w:b/>
          <w:sz w:val="28"/>
          <w:szCs w:val="28"/>
          <w:lang w:val="ru-RU"/>
        </w:rPr>
        <w:br w:type="page"/>
      </w:r>
    </w:p>
    <w:p w:rsidR="003F3BDC" w:rsidRDefault="00C94470" w:rsidP="00B4087A">
      <w:pPr>
        <w:pStyle w:val="1"/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bookmarkStart w:id="0" w:name="_Toc153860702"/>
      <w:r w:rsidRPr="00B4087A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lastRenderedPageBreak/>
        <w:t xml:space="preserve">Аннотация: </w:t>
      </w:r>
      <w:r w:rsidRPr="00B4087A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Статья представляет анализ проблемы ожирения в мировом масштабе, фокусируясь на различиях в распространенности этого явления в разных странах. Исследование рассматривает влияние разнообразных факторов, включая образ жизни, диету, генетические предпосылки и доступность здоровых п</w:t>
      </w:r>
      <w:r w:rsidR="00275F3C" w:rsidRPr="00B4087A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родуктов.</w:t>
      </w:r>
      <w:bookmarkEnd w:id="0"/>
      <w:r>
        <w:rPr>
          <w:rFonts w:ascii="Times New Roman" w:hAnsi="Times New Roman" w:cs="Times New Roman"/>
          <w:sz w:val="24"/>
          <w:szCs w:val="24"/>
          <w:lang w:val="ru-RU"/>
        </w:rPr>
        <w:br/>
      </w:r>
    </w:p>
    <w:p w:rsidR="00C94470" w:rsidRPr="00B4087A" w:rsidRDefault="00C94470" w:rsidP="00B4087A">
      <w:pPr>
        <w:pStyle w:val="1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bookmarkStart w:id="1" w:name="_Toc153860703"/>
      <w:r w:rsidRPr="00B4087A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Ключевые слова</w:t>
      </w:r>
      <w:r w:rsidR="002A3914" w:rsidRPr="00B4087A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: </w:t>
      </w:r>
      <w:r w:rsidR="002A3914" w:rsidRPr="00B4087A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ожирение, мировой масштаб, распространенность, сравнительный анализ, экономические факторы, образ жизни.</w:t>
      </w:r>
      <w:bookmarkEnd w:id="1"/>
    </w:p>
    <w:p w:rsidR="002A3914" w:rsidRDefault="002A3914" w:rsidP="00B4087A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420256" w:rsidRDefault="00420256" w:rsidP="00B4087A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</w:p>
    <w:p w:rsidR="00420256" w:rsidRDefault="00420256" w:rsidP="00B4087A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</w:p>
    <w:p w:rsidR="00420256" w:rsidRDefault="00420256" w:rsidP="00B4087A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</w:p>
    <w:p w:rsidR="00420256" w:rsidRDefault="00420256" w:rsidP="00B4087A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</w:p>
    <w:p w:rsidR="00420256" w:rsidRDefault="00420256" w:rsidP="00B4087A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</w:p>
    <w:p w:rsidR="00420256" w:rsidRDefault="00420256" w:rsidP="00B4087A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</w:p>
    <w:p w:rsidR="00420256" w:rsidRDefault="00420256" w:rsidP="00B4087A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</w:p>
    <w:p w:rsidR="00420256" w:rsidRDefault="00420256" w:rsidP="00B4087A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</w:p>
    <w:p w:rsidR="00420256" w:rsidRDefault="00420256" w:rsidP="00B4087A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</w:p>
    <w:p w:rsidR="00420256" w:rsidRDefault="00420256" w:rsidP="00B4087A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</w:p>
    <w:p w:rsidR="00420256" w:rsidRDefault="00420256" w:rsidP="00B4087A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</w:p>
    <w:p w:rsidR="00420256" w:rsidRDefault="00420256" w:rsidP="00B4087A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</w:p>
    <w:p w:rsidR="00420256" w:rsidRDefault="00420256" w:rsidP="00B4087A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</w:p>
    <w:p w:rsidR="00420256" w:rsidRDefault="00420256" w:rsidP="00B4087A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</w:p>
    <w:p w:rsidR="00420256" w:rsidRDefault="00420256" w:rsidP="00B4087A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</w:p>
    <w:p w:rsidR="00B4087A" w:rsidRDefault="00B4087A" w:rsidP="004E0AA9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2A3914" w:rsidRDefault="002A3914" w:rsidP="00B4087A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Ожирение</w:t>
      </w:r>
      <w:r w:rsidRPr="002A3914">
        <w:rPr>
          <w:rFonts w:ascii="Times New Roman" w:hAnsi="Times New Roman" w:cs="Times New Roman"/>
          <w:sz w:val="24"/>
          <w:szCs w:val="24"/>
          <w:lang w:val="ru-RU"/>
        </w:rPr>
        <w:t xml:space="preserve"> представляет собой медицинское состояние, при котором уровень накопления жира в организме превышает норму и может иметь отрицательное воздействие на здоровье. Обычно оценка ожирения производится с использованием индекса массы тела (ИМТ), который рассчитывается на основе соотношения массы тела к квадрату роста. Лица с ИМТ 30 и выше обычно считаются ожиревшими.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2A3914" w:rsidRDefault="00275F3C" w:rsidP="00B4087A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Рассматриваемая болезнь</w:t>
      </w:r>
      <w:r w:rsidR="002A3914" w:rsidRPr="002A3914">
        <w:rPr>
          <w:rFonts w:ascii="Times New Roman" w:hAnsi="Times New Roman" w:cs="Times New Roman"/>
          <w:sz w:val="24"/>
          <w:szCs w:val="24"/>
          <w:lang w:val="ru-RU"/>
        </w:rPr>
        <w:t xml:space="preserve"> может возникнуть из-за различных факторов, включая неправильное питание, недостаток физической активности, генетическую предрасположенность и метаболические нарушения. Это состояние связано с повышенным риском развития сердечно-сосудистых заболеваний, диабета, некоторых видов рака и других медицинских проблем. Профилактика и лечение ожирения обычно включают в себя изменение образа жизни, диеты и увеличение физической активности.</w:t>
      </w:r>
    </w:p>
    <w:p w:rsidR="002A3914" w:rsidRDefault="002A3914" w:rsidP="00B4087A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 данной статье буд</w:t>
      </w:r>
      <w:r w:rsidR="00345D56">
        <w:rPr>
          <w:rFonts w:ascii="Times New Roman" w:hAnsi="Times New Roman" w:cs="Times New Roman"/>
          <w:sz w:val="24"/>
          <w:szCs w:val="24"/>
          <w:lang w:val="ru-RU"/>
        </w:rPr>
        <w:t xml:space="preserve">ет проанализирован </w:t>
      </w:r>
      <w:proofErr w:type="spellStart"/>
      <w:r w:rsidR="00345D56">
        <w:rPr>
          <w:rFonts w:ascii="Times New Roman" w:hAnsi="Times New Roman" w:cs="Times New Roman"/>
          <w:sz w:val="24"/>
          <w:szCs w:val="24"/>
          <w:lang w:val="ru-RU"/>
        </w:rPr>
        <w:t>датасет</w:t>
      </w:r>
      <w:proofErr w:type="spellEnd"/>
      <w:r w:rsidR="00345D56">
        <w:rPr>
          <w:rFonts w:ascii="Times New Roman" w:hAnsi="Times New Roman" w:cs="Times New Roman"/>
          <w:sz w:val="24"/>
          <w:szCs w:val="24"/>
          <w:lang w:val="ru-RU"/>
        </w:rPr>
        <w:t xml:space="preserve">, который содержит в себе информацию: </w:t>
      </w:r>
      <w:r w:rsidR="00831FDC">
        <w:rPr>
          <w:rFonts w:ascii="Times New Roman" w:hAnsi="Times New Roman" w:cs="Times New Roman"/>
          <w:sz w:val="24"/>
          <w:szCs w:val="24"/>
        </w:rPr>
        <w:t>Obesity</w:t>
      </w:r>
      <w:r w:rsidR="00831FDC" w:rsidRPr="00831FDC">
        <w:rPr>
          <w:rFonts w:ascii="Times New Roman" w:hAnsi="Times New Roman" w:cs="Times New Roman"/>
          <w:sz w:val="24"/>
          <w:szCs w:val="24"/>
          <w:lang w:val="ru-RU"/>
        </w:rPr>
        <w:t xml:space="preserve"> (%) (</w:t>
      </w:r>
      <w:r w:rsidR="00345D56">
        <w:rPr>
          <w:rFonts w:ascii="Times New Roman" w:hAnsi="Times New Roman" w:cs="Times New Roman"/>
          <w:sz w:val="24"/>
          <w:szCs w:val="24"/>
          <w:lang w:val="ru-RU"/>
        </w:rPr>
        <w:t>процент ожирение</w:t>
      </w:r>
      <w:r w:rsidR="00831FDC" w:rsidRPr="00831FDC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C43B9D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831FDC">
        <w:rPr>
          <w:rFonts w:ascii="Times New Roman" w:hAnsi="Times New Roman" w:cs="Times New Roman"/>
          <w:sz w:val="24"/>
          <w:szCs w:val="24"/>
        </w:rPr>
        <w:t>Country</w:t>
      </w:r>
      <w:r w:rsidR="00831FD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31FDC" w:rsidRPr="00831FDC">
        <w:rPr>
          <w:rFonts w:ascii="Times New Roman" w:hAnsi="Times New Roman" w:cs="Times New Roman"/>
          <w:sz w:val="24"/>
          <w:szCs w:val="24"/>
          <w:lang w:val="ru-RU"/>
        </w:rPr>
        <w:t>(страна</w:t>
      </w:r>
      <w:r w:rsidR="00831FDC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C43B9D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831FDC">
        <w:rPr>
          <w:rFonts w:ascii="Times New Roman" w:hAnsi="Times New Roman" w:cs="Times New Roman"/>
          <w:sz w:val="24"/>
          <w:szCs w:val="24"/>
        </w:rPr>
        <w:t>Year</w:t>
      </w:r>
      <w:r w:rsidR="00831FDC" w:rsidRPr="00831FD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31FDC">
        <w:rPr>
          <w:rFonts w:ascii="Times New Roman" w:hAnsi="Times New Roman" w:cs="Times New Roman"/>
          <w:sz w:val="24"/>
          <w:szCs w:val="24"/>
          <w:lang w:val="ru-RU"/>
        </w:rPr>
        <w:t>(</w:t>
      </w:r>
      <w:r w:rsidR="00C43B9D">
        <w:rPr>
          <w:rFonts w:ascii="Times New Roman" w:hAnsi="Times New Roman" w:cs="Times New Roman"/>
          <w:sz w:val="24"/>
          <w:szCs w:val="24"/>
          <w:lang w:val="ru-RU"/>
        </w:rPr>
        <w:t>год</w:t>
      </w:r>
      <w:r w:rsidR="00831FDC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C43B9D">
        <w:rPr>
          <w:rFonts w:ascii="Times New Roman" w:hAnsi="Times New Roman" w:cs="Times New Roman"/>
          <w:sz w:val="24"/>
          <w:szCs w:val="24"/>
          <w:lang w:val="ru-RU"/>
        </w:rPr>
        <w:t xml:space="preserve"> и</w:t>
      </w:r>
      <w:r w:rsidR="00345D5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31FDC">
        <w:rPr>
          <w:rFonts w:ascii="Times New Roman" w:hAnsi="Times New Roman" w:cs="Times New Roman"/>
          <w:sz w:val="24"/>
          <w:szCs w:val="24"/>
        </w:rPr>
        <w:t>Sex</w:t>
      </w:r>
      <w:r w:rsidR="00831FDC" w:rsidRPr="00831FDC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="00345D56">
        <w:rPr>
          <w:rFonts w:ascii="Times New Roman" w:hAnsi="Times New Roman" w:cs="Times New Roman"/>
          <w:sz w:val="24"/>
          <w:szCs w:val="24"/>
          <w:lang w:val="ru-RU"/>
        </w:rPr>
        <w:t>пол</w:t>
      </w:r>
      <w:r w:rsidR="00831FDC" w:rsidRPr="00831FDC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C43B9D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831FDC">
        <w:rPr>
          <w:rFonts w:ascii="Times New Roman" w:hAnsi="Times New Roman" w:cs="Times New Roman"/>
          <w:sz w:val="24"/>
          <w:szCs w:val="24"/>
          <w:lang w:val="ru-RU"/>
        </w:rPr>
        <w:t xml:space="preserve">В столбце </w:t>
      </w:r>
      <w:r w:rsidR="00831FDC">
        <w:rPr>
          <w:rFonts w:ascii="Times New Roman" w:hAnsi="Times New Roman" w:cs="Times New Roman"/>
          <w:sz w:val="24"/>
          <w:szCs w:val="24"/>
        </w:rPr>
        <w:t>Obesity</w:t>
      </w:r>
      <w:r w:rsidR="00831FDC" w:rsidRPr="00831FDC">
        <w:rPr>
          <w:rFonts w:ascii="Times New Roman" w:hAnsi="Times New Roman" w:cs="Times New Roman"/>
          <w:sz w:val="24"/>
          <w:szCs w:val="24"/>
          <w:lang w:val="ru-RU"/>
        </w:rPr>
        <w:t xml:space="preserve"> (%) </w:t>
      </w:r>
      <w:r w:rsidR="00831FDC">
        <w:rPr>
          <w:rFonts w:ascii="Times New Roman" w:hAnsi="Times New Roman" w:cs="Times New Roman"/>
          <w:sz w:val="24"/>
          <w:szCs w:val="24"/>
          <w:lang w:val="ru-RU"/>
        </w:rPr>
        <w:t>написано среднее значение доли процента людей, страдающих ожирением и интервал, от минимального к максимальному значению</w:t>
      </w:r>
      <w:r w:rsidR="009B75B9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275F3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275F3C">
        <w:rPr>
          <w:rFonts w:ascii="Times New Roman" w:hAnsi="Times New Roman" w:cs="Times New Roman"/>
          <w:sz w:val="24"/>
          <w:szCs w:val="24"/>
          <w:lang w:val="ru-RU"/>
        </w:rPr>
        <w:t>Датасет</w:t>
      </w:r>
      <w:proofErr w:type="spellEnd"/>
      <w:r w:rsidR="00275F3C">
        <w:rPr>
          <w:rFonts w:ascii="Times New Roman" w:hAnsi="Times New Roman" w:cs="Times New Roman"/>
          <w:sz w:val="24"/>
          <w:szCs w:val="24"/>
          <w:lang w:val="ru-RU"/>
        </w:rPr>
        <w:t xml:space="preserve"> содержит в себе информацию с 1975 по 2016 год.</w:t>
      </w:r>
    </w:p>
    <w:p w:rsidR="00275F3C" w:rsidRDefault="009B75B9" w:rsidP="00B4087A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Целью этой работы является</w:t>
      </w:r>
      <w:r w:rsidR="00275F3C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275F3C" w:rsidRDefault="00275F3C" w:rsidP="00B4087A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- рассмотрение разных факторов стран (образ жизни, экономика и </w:t>
      </w:r>
      <w:r w:rsidR="00AB7ACC">
        <w:rPr>
          <w:rFonts w:ascii="Times New Roman" w:hAnsi="Times New Roman" w:cs="Times New Roman"/>
          <w:sz w:val="24"/>
          <w:szCs w:val="24"/>
          <w:lang w:val="ru-RU"/>
        </w:rPr>
        <w:t>т.д.</w:t>
      </w:r>
      <w:r w:rsidR="007633B8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C43D7A" w:rsidRDefault="00C43D7A" w:rsidP="00B4087A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сравнительная оценка ожирения в разных странах, их анализ и возможное предсказание возрастания или убывания</w:t>
      </w:r>
    </w:p>
    <w:p w:rsidR="00275F3C" w:rsidRDefault="00275F3C" w:rsidP="00B4087A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передача исходной информации</w:t>
      </w:r>
    </w:p>
    <w:p w:rsidR="00B4087A" w:rsidRDefault="00B4087A" w:rsidP="00B4087A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B4087A" w:rsidRPr="00B4087A" w:rsidRDefault="00B4087A" w:rsidP="00B4087A">
      <w:pPr>
        <w:pStyle w:val="1"/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2" w:name="_Toc153860704"/>
      <w:r w:rsidRPr="00B4087A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Методы</w:t>
      </w:r>
      <w:bookmarkEnd w:id="2"/>
    </w:p>
    <w:p w:rsidR="007633B8" w:rsidRPr="006C75E2" w:rsidRDefault="006C75E2" w:rsidP="00B4087A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6C75E2">
        <w:rPr>
          <w:rFonts w:ascii="Times New Roman" w:hAnsi="Times New Roman" w:cs="Times New Roman"/>
          <w:sz w:val="24"/>
          <w:szCs w:val="24"/>
          <w:lang w:val="ru-RU"/>
        </w:rPr>
        <w:t xml:space="preserve">Для анализа данных </w:t>
      </w:r>
      <w:r>
        <w:rPr>
          <w:rFonts w:ascii="Times New Roman" w:hAnsi="Times New Roman" w:cs="Times New Roman"/>
          <w:sz w:val="24"/>
          <w:szCs w:val="24"/>
          <w:lang w:val="ru-RU"/>
        </w:rPr>
        <w:t>были использованы</w:t>
      </w:r>
      <w:r w:rsidRPr="006C75E2">
        <w:rPr>
          <w:rFonts w:ascii="Times New Roman" w:hAnsi="Times New Roman" w:cs="Times New Roman"/>
          <w:sz w:val="24"/>
          <w:szCs w:val="24"/>
          <w:lang w:val="ru-RU"/>
        </w:rPr>
        <w:t xml:space="preserve"> статистические методы, включая линейную регрессию, временные ряды и визуализацию. Исходные данные включают в себя информацию о проценте ожирения в различных странах мира, а также демографические характеристики.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6C75E2" w:rsidRPr="006C75E2" w:rsidRDefault="006C75E2" w:rsidP="00B4087A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  <w:t xml:space="preserve">К сожалению, 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некоторые страны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 xml:space="preserve"> находящиеся в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датасете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не работали, поэтому брались страны, с которыми можно было использовать модели и диаграммы. Для начала </w:t>
      </w: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была взята страна с самым маленьким процентом ожирения, Япония и с самым большим процентом ожирения, Австралия. </w:t>
      </w:r>
      <w:r w:rsidRPr="006C75E2">
        <w:rPr>
          <w:rFonts w:ascii="Times New Roman" w:hAnsi="Times New Roman" w:cs="Times New Roman"/>
          <w:sz w:val="24"/>
          <w:szCs w:val="24"/>
          <w:lang w:val="ru-RU"/>
        </w:rPr>
        <w:t>При сравнении уровня ожирения в Австралии и Японии за рассматриваемый период (1975-2015 гг.) выявилась значительная разница, которая может быть объяснена несколькими факторами.</w:t>
      </w:r>
    </w:p>
    <w:p w:rsidR="006C75E2" w:rsidRDefault="006C75E2" w:rsidP="00B4087A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6C75E2">
        <w:rPr>
          <w:rFonts w:ascii="Times New Roman" w:hAnsi="Times New Roman" w:cs="Times New Roman"/>
          <w:sz w:val="24"/>
          <w:szCs w:val="24"/>
          <w:lang w:val="ru-RU"/>
        </w:rPr>
        <w:t>Во-первых, культурные и диетические особенности играют решающую роль в различиях между этими двумя странами. Япония, с ее традиционной диетой, богатой рисом, рыбой и овощами, долгое время славится как одна из стран с наименьшим уровнем ожирения в мире. В то время как в Австралии, где потребление высококалорийных продуктов и быстрого питания может быть более распространенным, уровень ожирения выше.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</w:p>
    <w:p w:rsidR="006C75E2" w:rsidRPr="006C75E2" w:rsidRDefault="006C75E2" w:rsidP="00B4087A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6C75E2">
        <w:rPr>
          <w:rFonts w:ascii="Times New Roman" w:hAnsi="Times New Roman" w:cs="Times New Roman"/>
          <w:sz w:val="24"/>
          <w:szCs w:val="24"/>
          <w:lang w:val="ru-RU"/>
        </w:rPr>
        <w:t>Во-вторых, социально-экономические различия также оказывают влияние. Экономический рост и изменение образа жизни в Австралии могли сопровождаться более высоким уровнем ожирения из-за увеличенного доступа к высококалорийной пище и сидячего образа жизни.</w:t>
      </w:r>
    </w:p>
    <w:p w:rsidR="006C75E2" w:rsidRPr="006C75E2" w:rsidRDefault="006C75E2" w:rsidP="00B4087A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6C75E2">
        <w:rPr>
          <w:rFonts w:ascii="Times New Roman" w:hAnsi="Times New Roman" w:cs="Times New Roman"/>
          <w:sz w:val="24"/>
          <w:szCs w:val="24"/>
          <w:lang w:val="ru-RU"/>
        </w:rPr>
        <w:t>Третий фактор - различия в образе жизни и степени физической активности. Япония, с ее активным образом жизни и традицией использования общественного транспорта, может иметь более благоприятные условия для поддержания здоровья и нормального веса.</w:t>
      </w:r>
    </w:p>
    <w:p w:rsidR="007633B8" w:rsidRDefault="006C75E2" w:rsidP="00B4087A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6C75E2">
        <w:rPr>
          <w:rFonts w:ascii="Times New Roman" w:hAnsi="Times New Roman" w:cs="Times New Roman"/>
          <w:sz w:val="24"/>
          <w:szCs w:val="24"/>
          <w:lang w:val="ru-RU"/>
        </w:rPr>
        <w:t>Таким образом, различия в культуре, диете, образе жизни и экономических условиях могут объяснить заметные различия в уровне ожирения между Австралией и Японией за рассматриваемый период. Это подчеркивает важность учета множества факторов при анализе такой сложной проблемы, как уровень ожирения в различных странах мира.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6C75E2" w:rsidRPr="006C75E2" w:rsidRDefault="006C75E2" w:rsidP="00B4087A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6C75E2">
        <w:rPr>
          <w:rFonts w:ascii="Times New Roman" w:hAnsi="Times New Roman" w:cs="Times New Roman"/>
          <w:sz w:val="24"/>
          <w:szCs w:val="24"/>
          <w:lang w:val="ru-RU"/>
        </w:rPr>
        <w:t>Сравнение уровня ожирения между Австралией и Японией за 1975 и 2015 годы на диаграммах может предоставить интересные наблюдения.</w:t>
      </w:r>
    </w:p>
    <w:p w:rsidR="00000000" w:rsidRPr="006C75E2" w:rsidRDefault="004E0AA9" w:rsidP="00B4087A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C75E2">
        <w:rPr>
          <w:rFonts w:ascii="Times New Roman" w:hAnsi="Times New Roman" w:cs="Times New Roman"/>
          <w:sz w:val="24"/>
          <w:szCs w:val="24"/>
          <w:lang w:val="ru-RU"/>
        </w:rPr>
        <w:t>Динамика в течение 40 лет:</w:t>
      </w:r>
    </w:p>
    <w:p w:rsidR="00000000" w:rsidRPr="006C75E2" w:rsidRDefault="004E0AA9" w:rsidP="00B4087A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C75E2">
        <w:rPr>
          <w:rFonts w:ascii="Times New Roman" w:hAnsi="Times New Roman" w:cs="Times New Roman"/>
          <w:sz w:val="24"/>
          <w:szCs w:val="24"/>
          <w:lang w:val="ru-RU"/>
        </w:rPr>
        <w:t>Если ожирение в Австралии и Японии возр</w:t>
      </w:r>
      <w:r w:rsidRPr="006C75E2">
        <w:rPr>
          <w:rFonts w:ascii="Times New Roman" w:hAnsi="Times New Roman" w:cs="Times New Roman"/>
          <w:sz w:val="24"/>
          <w:szCs w:val="24"/>
          <w:lang w:val="ru-RU"/>
        </w:rPr>
        <w:t>осло за период с 1975 по 2015 год, это может свидетельствовать о глобальных или местных изменениях в образе жизни и пищевых привычках.</w:t>
      </w:r>
    </w:p>
    <w:p w:rsidR="00000000" w:rsidRPr="006C75E2" w:rsidRDefault="004E0AA9" w:rsidP="00B4087A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C75E2">
        <w:rPr>
          <w:rFonts w:ascii="Times New Roman" w:hAnsi="Times New Roman" w:cs="Times New Roman"/>
          <w:sz w:val="24"/>
          <w:szCs w:val="24"/>
          <w:lang w:val="ru-RU"/>
        </w:rPr>
        <w:t>Различия между странами:</w:t>
      </w:r>
    </w:p>
    <w:p w:rsidR="00000000" w:rsidRPr="006C75E2" w:rsidRDefault="004E0AA9" w:rsidP="00B4087A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C75E2">
        <w:rPr>
          <w:rFonts w:ascii="Times New Roman" w:hAnsi="Times New Roman" w:cs="Times New Roman"/>
          <w:sz w:val="24"/>
          <w:szCs w:val="24"/>
          <w:lang w:val="ru-RU"/>
        </w:rPr>
        <w:t>Сравнение уровня ожирения в Австралии и Японии выявляет различия в стиле жизни, диете и здравоохранении.</w:t>
      </w:r>
    </w:p>
    <w:p w:rsidR="00000000" w:rsidRPr="006C75E2" w:rsidRDefault="004E0AA9" w:rsidP="00B4087A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C75E2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Если одна страна имеет более </w:t>
      </w:r>
      <w:r w:rsidRPr="006C75E2">
        <w:rPr>
          <w:rFonts w:ascii="Times New Roman" w:hAnsi="Times New Roman" w:cs="Times New Roman"/>
          <w:sz w:val="24"/>
          <w:szCs w:val="24"/>
          <w:lang w:val="ru-RU"/>
        </w:rPr>
        <w:t>стабильные или более низкие уровни ожирения, это может быть связано с национальными программами здравоохранения или традиционными культурными особенностями.</w:t>
      </w:r>
    </w:p>
    <w:p w:rsidR="006C75E2" w:rsidRDefault="006C75E2" w:rsidP="00B4087A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7633B8" w:rsidRPr="007633B8" w:rsidRDefault="006326A6" w:rsidP="00B4087A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Было сделано ещё 5</w:t>
      </w:r>
      <w:r w:rsidR="006C75E2">
        <w:rPr>
          <w:rFonts w:ascii="Times New Roman" w:hAnsi="Times New Roman" w:cs="Times New Roman"/>
          <w:sz w:val="24"/>
          <w:szCs w:val="24"/>
          <w:lang w:val="ru-RU"/>
        </w:rPr>
        <w:t xml:space="preserve"> сравнения между остальными странами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за период 1975 по 2015 год</w:t>
      </w:r>
      <w:r w:rsidR="006C75E2">
        <w:rPr>
          <w:rFonts w:ascii="Times New Roman" w:hAnsi="Times New Roman" w:cs="Times New Roman"/>
          <w:sz w:val="24"/>
          <w:szCs w:val="24"/>
          <w:lang w:val="ru-RU"/>
        </w:rPr>
        <w:t>, где использовались разные методы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визуализации информации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датасета</w:t>
      </w:r>
      <w:proofErr w:type="spellEnd"/>
      <w:r w:rsidR="006C75E2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Но одной из самых важных была линейная регрессия, так как она показал конкретный рост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прцента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ожирения среди всех стран.</w:t>
      </w:r>
    </w:p>
    <w:p w:rsidR="006326A6" w:rsidRPr="006326A6" w:rsidRDefault="006326A6" w:rsidP="00B4087A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6326A6">
        <w:rPr>
          <w:rFonts w:ascii="Times New Roman" w:hAnsi="Times New Roman" w:cs="Times New Roman"/>
          <w:sz w:val="24"/>
          <w:szCs w:val="24"/>
          <w:lang w:val="ru-RU"/>
        </w:rPr>
        <w:t xml:space="preserve">Линейная регрессия, примененная к данным об уровне ожирения в выбранном </w:t>
      </w:r>
      <w:proofErr w:type="spellStart"/>
      <w:r w:rsidRPr="006326A6">
        <w:rPr>
          <w:rFonts w:ascii="Times New Roman" w:hAnsi="Times New Roman" w:cs="Times New Roman"/>
          <w:sz w:val="24"/>
          <w:szCs w:val="24"/>
          <w:lang w:val="ru-RU"/>
        </w:rPr>
        <w:t>датасете</w:t>
      </w:r>
      <w:proofErr w:type="spellEnd"/>
      <w:r w:rsidRPr="006326A6">
        <w:rPr>
          <w:rFonts w:ascii="Times New Roman" w:hAnsi="Times New Roman" w:cs="Times New Roman"/>
          <w:sz w:val="24"/>
          <w:szCs w:val="24"/>
          <w:lang w:val="ru-RU"/>
        </w:rPr>
        <w:t>, предоставила ценную информацию о тенденциях в течение рассматриваемого временного периода (1975-2015 гг.).</w:t>
      </w:r>
    </w:p>
    <w:p w:rsidR="006326A6" w:rsidRPr="006326A6" w:rsidRDefault="006326A6" w:rsidP="00B4087A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6326A6">
        <w:rPr>
          <w:rFonts w:ascii="Times New Roman" w:hAnsi="Times New Roman" w:cs="Times New Roman"/>
          <w:sz w:val="24"/>
          <w:szCs w:val="24"/>
          <w:lang w:val="ru-RU"/>
        </w:rPr>
        <w:t>Из анализа регрессионной модели следует, что с течением времени наблюдается положительная тенденция в уровне ожирения. Коэффициент наклона (</w:t>
      </w:r>
      <w:proofErr w:type="spellStart"/>
      <w:r w:rsidRPr="006326A6">
        <w:rPr>
          <w:rFonts w:ascii="Times New Roman" w:hAnsi="Times New Roman" w:cs="Times New Roman"/>
          <w:sz w:val="24"/>
          <w:szCs w:val="24"/>
          <w:lang w:val="ru-RU"/>
        </w:rPr>
        <w:t>slope</w:t>
      </w:r>
      <w:proofErr w:type="spellEnd"/>
      <w:r w:rsidRPr="006326A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326A6">
        <w:rPr>
          <w:rFonts w:ascii="Times New Roman" w:hAnsi="Times New Roman" w:cs="Times New Roman"/>
          <w:sz w:val="24"/>
          <w:szCs w:val="24"/>
          <w:lang w:val="ru-RU"/>
        </w:rPr>
        <w:t>coefficient</w:t>
      </w:r>
      <w:proofErr w:type="spellEnd"/>
      <w:r w:rsidRPr="006326A6">
        <w:rPr>
          <w:rFonts w:ascii="Times New Roman" w:hAnsi="Times New Roman" w:cs="Times New Roman"/>
          <w:sz w:val="24"/>
          <w:szCs w:val="24"/>
          <w:lang w:val="ru-RU"/>
        </w:rPr>
        <w:t>) положителен и значим, указывая на статистически значимый рост уровня ожирения с увеличением года. Это свидетельствует о том, что в среднем уровень ожирения увеличивается на определенную величину каждый год.</w:t>
      </w:r>
    </w:p>
    <w:p w:rsidR="006326A6" w:rsidRPr="006326A6" w:rsidRDefault="006326A6" w:rsidP="00B4087A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6326A6" w:rsidRPr="006326A6" w:rsidRDefault="006326A6" w:rsidP="00B4087A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6326A6">
        <w:rPr>
          <w:rFonts w:ascii="Times New Roman" w:hAnsi="Times New Roman" w:cs="Times New Roman"/>
          <w:sz w:val="24"/>
          <w:szCs w:val="24"/>
          <w:lang w:val="ru-RU"/>
        </w:rPr>
        <w:t>Модель также показывает, что в 1975 году уровень ожирения в отсутствие других факторов (пересекающаяся линия регрессии) был отрицательным, что вполне ожидаемо, учитывая менее распространенную проблему ожирения в том периоде. Однако, с увеличением года, даже после коррекции на влияние времени, уровень ожирения становится положительным.</w:t>
      </w:r>
    </w:p>
    <w:p w:rsidR="007633B8" w:rsidRPr="007633B8" w:rsidRDefault="006326A6" w:rsidP="00B4087A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6326A6">
        <w:rPr>
          <w:rFonts w:ascii="Times New Roman" w:hAnsi="Times New Roman" w:cs="Times New Roman"/>
          <w:sz w:val="24"/>
          <w:szCs w:val="24"/>
          <w:lang w:val="ru-RU"/>
        </w:rPr>
        <w:t>Объяснительная способность модели, измеряемая коэффициентом детерминации (R-</w:t>
      </w:r>
      <w:proofErr w:type="spellStart"/>
      <w:r w:rsidRPr="006326A6">
        <w:rPr>
          <w:rFonts w:ascii="Times New Roman" w:hAnsi="Times New Roman" w:cs="Times New Roman"/>
          <w:sz w:val="24"/>
          <w:szCs w:val="24"/>
          <w:lang w:val="ru-RU"/>
        </w:rPr>
        <w:t>squared</w:t>
      </w:r>
      <w:proofErr w:type="spellEnd"/>
      <w:r w:rsidRPr="006326A6">
        <w:rPr>
          <w:rFonts w:ascii="Times New Roman" w:hAnsi="Times New Roman" w:cs="Times New Roman"/>
          <w:sz w:val="24"/>
          <w:szCs w:val="24"/>
          <w:lang w:val="ru-RU"/>
        </w:rPr>
        <w:t>), оказывается довольно невелика (0.1435), что указывает на то, что не все вариации в уровне ожирения можно объяснить выбранным временным фактором. Возможно, другие переменные также оказывают существенное воздействие на уровень ожирения и требуют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учета в более сложных моделях.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326A6">
        <w:rPr>
          <w:rFonts w:ascii="Times New Roman" w:hAnsi="Times New Roman" w:cs="Times New Roman"/>
          <w:sz w:val="24"/>
          <w:szCs w:val="24"/>
          <w:lang w:val="ru-RU"/>
        </w:rPr>
        <w:t xml:space="preserve">Таким образом, линейная регрессия позволяет выделить общую тенденцию роста уровня ожирения с течением времени, но не исчерпывающе объясняет все факторы, влияющие на это явление. Анализ модели подчеркивает </w:t>
      </w:r>
      <w:r w:rsidRPr="006326A6">
        <w:rPr>
          <w:rFonts w:ascii="Times New Roman" w:hAnsi="Times New Roman" w:cs="Times New Roman"/>
          <w:sz w:val="24"/>
          <w:szCs w:val="24"/>
          <w:lang w:val="ru-RU"/>
        </w:rPr>
        <w:lastRenderedPageBreak/>
        <w:t>необходимость учета множества факторов и различных подходов для более глубокого понимания динамики ожирения.</w:t>
      </w:r>
    </w:p>
    <w:p w:rsidR="00B4087A" w:rsidRDefault="006326A6" w:rsidP="00B4087A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</w:p>
    <w:p w:rsidR="00B4087A" w:rsidRPr="00B4087A" w:rsidRDefault="00B4087A" w:rsidP="00B4087A">
      <w:pPr>
        <w:pStyle w:val="1"/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3" w:name="_Toc153860705"/>
      <w:r w:rsidRPr="00B4087A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Вывод</w:t>
      </w:r>
      <w:bookmarkEnd w:id="3"/>
    </w:p>
    <w:p w:rsidR="006326A6" w:rsidRPr="006326A6" w:rsidRDefault="006326A6" w:rsidP="00B4087A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ru-RU"/>
        </w:rPr>
      </w:pPr>
      <w:r w:rsidRPr="006326A6">
        <w:rPr>
          <w:rFonts w:ascii="Times New Roman" w:hAnsi="Times New Roman" w:cs="Times New Roman"/>
          <w:sz w:val="24"/>
          <w:szCs w:val="24"/>
          <w:lang w:val="ru-RU"/>
        </w:rPr>
        <w:t xml:space="preserve">Как вывод можно сказать что, в ходе </w:t>
      </w:r>
      <w:r>
        <w:rPr>
          <w:rFonts w:ascii="Times New Roman" w:hAnsi="Times New Roman" w:cs="Times New Roman"/>
          <w:sz w:val="24"/>
          <w:szCs w:val="24"/>
          <w:lang w:val="ru-RU"/>
        </w:rPr>
        <w:t>работы был</w:t>
      </w:r>
      <w:r w:rsidRPr="006326A6">
        <w:rPr>
          <w:rFonts w:ascii="Times New Roman" w:hAnsi="Times New Roman" w:cs="Times New Roman"/>
          <w:sz w:val="24"/>
          <w:szCs w:val="24"/>
          <w:lang w:val="ru-RU"/>
        </w:rPr>
        <w:t xml:space="preserve"> прове</w:t>
      </w:r>
      <w:r>
        <w:rPr>
          <w:rFonts w:ascii="Times New Roman" w:hAnsi="Times New Roman" w:cs="Times New Roman"/>
          <w:sz w:val="24"/>
          <w:szCs w:val="24"/>
          <w:lang w:val="ru-RU"/>
        </w:rPr>
        <w:t>ден</w:t>
      </w:r>
      <w:r w:rsidRPr="006326A6">
        <w:rPr>
          <w:rFonts w:ascii="Times New Roman" w:hAnsi="Times New Roman" w:cs="Times New Roman"/>
          <w:sz w:val="24"/>
          <w:szCs w:val="24"/>
          <w:lang w:val="ru-RU"/>
        </w:rPr>
        <w:t xml:space="preserve"> анализ данных об уровне ожирения в различных странах в период с 1975 по 2015 год.</w:t>
      </w:r>
    </w:p>
    <w:p w:rsidR="00000000" w:rsidRPr="006326A6" w:rsidRDefault="004E0AA9" w:rsidP="00B4087A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326A6">
        <w:rPr>
          <w:rFonts w:ascii="Times New Roman" w:hAnsi="Times New Roman" w:cs="Times New Roman"/>
          <w:sz w:val="24"/>
          <w:szCs w:val="24"/>
          <w:lang w:val="ru-RU"/>
        </w:rPr>
        <w:t>Была использована линейная регрессия для изучения динамики уровня ожирения с течением времени. Полученные коэффициенты модели позволяют сделать вывод о том, что уров</w:t>
      </w:r>
      <w:r w:rsidRPr="006326A6">
        <w:rPr>
          <w:rFonts w:ascii="Times New Roman" w:hAnsi="Times New Roman" w:cs="Times New Roman"/>
          <w:sz w:val="24"/>
          <w:szCs w:val="24"/>
          <w:lang w:val="ru-RU"/>
        </w:rPr>
        <w:t>ень ожирения имеет тенденцию к увеличению с течением времени.</w:t>
      </w:r>
    </w:p>
    <w:p w:rsidR="00000000" w:rsidRPr="006326A6" w:rsidRDefault="004E0AA9" w:rsidP="00B4087A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326A6">
        <w:rPr>
          <w:rFonts w:ascii="Times New Roman" w:hAnsi="Times New Roman" w:cs="Times New Roman"/>
          <w:sz w:val="24"/>
          <w:szCs w:val="24"/>
          <w:lang w:val="ru-RU"/>
        </w:rPr>
        <w:t xml:space="preserve">Было проведено сравнение уровня ожирения в различных странах, включая Японию, Австралию и другие. Это позволяет </w:t>
      </w:r>
      <w:r w:rsidRPr="006326A6">
        <w:rPr>
          <w:rFonts w:ascii="Times New Roman" w:hAnsi="Times New Roman" w:cs="Times New Roman"/>
          <w:sz w:val="24"/>
          <w:szCs w:val="24"/>
          <w:lang w:val="ru-RU"/>
        </w:rPr>
        <w:t>выявить различия и схожести в динамике этого явления.</w:t>
      </w:r>
    </w:p>
    <w:p w:rsidR="00000000" w:rsidRPr="006326A6" w:rsidRDefault="004E0AA9" w:rsidP="00B4087A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326A6">
        <w:rPr>
          <w:rFonts w:ascii="Times New Roman" w:hAnsi="Times New Roman" w:cs="Times New Roman"/>
          <w:sz w:val="24"/>
          <w:szCs w:val="24"/>
          <w:lang w:val="ru-RU"/>
        </w:rPr>
        <w:t xml:space="preserve">Были построены различные диаграммы, включая диаграммы рассеивания, временных рядов и другие. Эти визуализации помогают лучше понять </w:t>
      </w:r>
      <w:r w:rsidRPr="006326A6">
        <w:rPr>
          <w:rFonts w:ascii="Times New Roman" w:hAnsi="Times New Roman" w:cs="Times New Roman"/>
          <w:sz w:val="24"/>
          <w:szCs w:val="24"/>
          <w:lang w:val="ru-RU"/>
        </w:rPr>
        <w:t>структуру данных и выявить закономерности.</w:t>
      </w:r>
    </w:p>
    <w:p w:rsidR="00000000" w:rsidRPr="006326A6" w:rsidRDefault="004E0AA9" w:rsidP="00B4087A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326A6">
        <w:rPr>
          <w:rFonts w:ascii="Times New Roman" w:hAnsi="Times New Roman" w:cs="Times New Roman"/>
          <w:sz w:val="24"/>
          <w:szCs w:val="24"/>
          <w:lang w:val="ru-RU"/>
        </w:rPr>
        <w:t>Проблема ожирения становится всё важнее и важнее с каждым днём</w:t>
      </w:r>
    </w:p>
    <w:p w:rsidR="007633B8" w:rsidRDefault="007633B8" w:rsidP="00B4087A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6326A6" w:rsidRDefault="006326A6" w:rsidP="00B4087A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6326A6" w:rsidRDefault="006326A6" w:rsidP="00B4087A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6326A6" w:rsidRDefault="006326A6" w:rsidP="00B4087A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6326A6" w:rsidRDefault="006326A6" w:rsidP="00B4087A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4E0AA9" w:rsidRDefault="004E0AA9" w:rsidP="00B4087A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4E0AA9" w:rsidRDefault="004E0AA9" w:rsidP="00B4087A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bookmarkStart w:id="4" w:name="_GoBack"/>
      <w:bookmarkEnd w:id="4"/>
    </w:p>
    <w:p w:rsidR="006326A6" w:rsidRDefault="006326A6" w:rsidP="00B4087A">
      <w:pPr>
        <w:pStyle w:val="1"/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bookmarkStart w:id="5" w:name="_Toc153860706"/>
      <w:r w:rsidRPr="00B4087A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lastRenderedPageBreak/>
        <w:t>Библиография</w:t>
      </w:r>
      <w:bookmarkEnd w:id="5"/>
      <w:r w:rsidRPr="006326A6">
        <w:rPr>
          <w:rFonts w:ascii="Times New Roman" w:hAnsi="Times New Roman" w:cs="Times New Roman"/>
          <w:b/>
          <w:sz w:val="28"/>
          <w:szCs w:val="28"/>
          <w:lang w:val="ru-RU"/>
        </w:rPr>
        <w:br/>
      </w:r>
    </w:p>
    <w:p w:rsidR="006326A6" w:rsidRPr="006326A6" w:rsidRDefault="006326A6" w:rsidP="00B4087A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326A6">
        <w:rPr>
          <w:rFonts w:ascii="Times New Roman" w:hAnsi="Times New Roman" w:cs="Times New Roman"/>
          <w:sz w:val="24"/>
          <w:szCs w:val="24"/>
          <w:lang w:val="ru-RU"/>
        </w:rPr>
        <w:t xml:space="preserve">Ссылка на </w:t>
      </w:r>
      <w:proofErr w:type="spellStart"/>
      <w:r w:rsidRPr="006326A6">
        <w:rPr>
          <w:rFonts w:ascii="Times New Roman" w:hAnsi="Times New Roman" w:cs="Times New Roman"/>
          <w:sz w:val="24"/>
          <w:szCs w:val="24"/>
          <w:lang w:val="ru-RU"/>
        </w:rPr>
        <w:t>датасет</w:t>
      </w:r>
      <w:proofErr w:type="spellEnd"/>
      <w:r w:rsidRPr="006326A6">
        <w:rPr>
          <w:rFonts w:ascii="Times New Roman" w:hAnsi="Times New Roman" w:cs="Times New Roman"/>
          <w:sz w:val="24"/>
          <w:szCs w:val="24"/>
          <w:lang w:val="ru-RU"/>
        </w:rPr>
        <w:t xml:space="preserve"> - </w:t>
      </w:r>
      <w:hyperlink r:id="rId6" w:history="1">
        <w:r w:rsidRPr="006326A6">
          <w:rPr>
            <w:rStyle w:val="a4"/>
            <w:rFonts w:ascii="Times New Roman" w:hAnsi="Times New Roman" w:cs="Times New Roman"/>
            <w:sz w:val="24"/>
            <w:szCs w:val="24"/>
          </w:rPr>
          <w:t>https</w:t>
        </w:r>
        <w:r w:rsidRPr="006326A6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>://</w:t>
        </w:r>
        <w:r w:rsidRPr="006326A6">
          <w:rPr>
            <w:rStyle w:val="a4"/>
            <w:rFonts w:ascii="Times New Roman" w:hAnsi="Times New Roman" w:cs="Times New Roman"/>
            <w:sz w:val="24"/>
            <w:szCs w:val="24"/>
          </w:rPr>
          <w:t>www</w:t>
        </w:r>
        <w:r w:rsidRPr="006326A6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>.</w:t>
        </w:r>
        <w:proofErr w:type="spellStart"/>
        <w:r w:rsidRPr="006326A6">
          <w:rPr>
            <w:rStyle w:val="a4"/>
            <w:rFonts w:ascii="Times New Roman" w:hAnsi="Times New Roman" w:cs="Times New Roman"/>
            <w:sz w:val="24"/>
            <w:szCs w:val="24"/>
          </w:rPr>
          <w:t>kaggle</w:t>
        </w:r>
        <w:proofErr w:type="spellEnd"/>
        <w:r w:rsidRPr="006326A6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>.</w:t>
        </w:r>
        <w:r w:rsidRPr="006326A6">
          <w:rPr>
            <w:rStyle w:val="a4"/>
            <w:rFonts w:ascii="Times New Roman" w:hAnsi="Times New Roman" w:cs="Times New Roman"/>
            <w:sz w:val="24"/>
            <w:szCs w:val="24"/>
          </w:rPr>
          <w:t>com</w:t>
        </w:r>
        <w:r w:rsidRPr="006326A6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>/</w:t>
        </w:r>
        <w:r w:rsidRPr="006326A6">
          <w:rPr>
            <w:rStyle w:val="a4"/>
            <w:rFonts w:ascii="Times New Roman" w:hAnsi="Times New Roman" w:cs="Times New Roman"/>
            <w:sz w:val="24"/>
            <w:szCs w:val="24"/>
          </w:rPr>
          <w:t>datasets</w:t>
        </w:r>
        <w:r w:rsidRPr="006326A6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>/</w:t>
        </w:r>
        <w:proofErr w:type="spellStart"/>
        <w:r w:rsidRPr="006326A6">
          <w:rPr>
            <w:rStyle w:val="a4"/>
            <w:rFonts w:ascii="Times New Roman" w:hAnsi="Times New Roman" w:cs="Times New Roman"/>
            <w:sz w:val="24"/>
            <w:szCs w:val="24"/>
          </w:rPr>
          <w:t>amanarora</w:t>
        </w:r>
        <w:proofErr w:type="spellEnd"/>
        <w:r w:rsidRPr="006326A6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>/</w:t>
        </w:r>
        <w:r w:rsidRPr="006326A6">
          <w:rPr>
            <w:rStyle w:val="a4"/>
            <w:rFonts w:ascii="Times New Roman" w:hAnsi="Times New Roman" w:cs="Times New Roman"/>
            <w:sz w:val="24"/>
            <w:szCs w:val="24"/>
          </w:rPr>
          <w:t>obesity</w:t>
        </w:r>
        <w:r w:rsidRPr="006326A6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>-</w:t>
        </w:r>
        <w:r w:rsidRPr="006326A6">
          <w:rPr>
            <w:rStyle w:val="a4"/>
            <w:rFonts w:ascii="Times New Roman" w:hAnsi="Times New Roman" w:cs="Times New Roman"/>
            <w:sz w:val="24"/>
            <w:szCs w:val="24"/>
          </w:rPr>
          <w:t>among</w:t>
        </w:r>
        <w:r w:rsidRPr="006326A6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>-</w:t>
        </w:r>
        <w:r w:rsidRPr="006326A6">
          <w:rPr>
            <w:rStyle w:val="a4"/>
            <w:rFonts w:ascii="Times New Roman" w:hAnsi="Times New Roman" w:cs="Times New Roman"/>
            <w:sz w:val="24"/>
            <w:szCs w:val="24"/>
          </w:rPr>
          <w:t>adults</w:t>
        </w:r>
        <w:r w:rsidRPr="006326A6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>-</w:t>
        </w:r>
        <w:r w:rsidRPr="006326A6">
          <w:rPr>
            <w:rStyle w:val="a4"/>
            <w:rFonts w:ascii="Times New Roman" w:hAnsi="Times New Roman" w:cs="Times New Roman"/>
            <w:sz w:val="24"/>
            <w:szCs w:val="24"/>
          </w:rPr>
          <w:t>by</w:t>
        </w:r>
        <w:r w:rsidRPr="006326A6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>-</w:t>
        </w:r>
        <w:r w:rsidRPr="006326A6">
          <w:rPr>
            <w:rStyle w:val="a4"/>
            <w:rFonts w:ascii="Times New Roman" w:hAnsi="Times New Roman" w:cs="Times New Roman"/>
            <w:sz w:val="24"/>
            <w:szCs w:val="24"/>
          </w:rPr>
          <w:t>country</w:t>
        </w:r>
        <w:r w:rsidRPr="006326A6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>-19752016</w:t>
        </w:r>
      </w:hyperlink>
    </w:p>
    <w:p w:rsidR="006326A6" w:rsidRDefault="006326A6" w:rsidP="00B4087A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Информация  о жизни Японии - </w:t>
      </w:r>
      <w:hyperlink r:id="rId7" w:history="1">
        <w:r w:rsidRPr="00271519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>https://dzen.ru/a/X608MEJ4N15-9a4i</w:t>
        </w:r>
      </w:hyperlink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6326A6" w:rsidRDefault="00956107" w:rsidP="00B4087A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Информация о жизни в Австралии - </w:t>
      </w:r>
      <w:hyperlink r:id="rId8" w:history="1">
        <w:r w:rsidRPr="00271519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>https://www.mordorintelligence.com/ru/industry-reports/australia-snack-bar-market</w:t>
        </w:r>
      </w:hyperlink>
    </w:p>
    <w:p w:rsidR="00956107" w:rsidRPr="006326A6" w:rsidRDefault="00956107" w:rsidP="00275F3C">
      <w:pPr>
        <w:rPr>
          <w:rFonts w:ascii="Times New Roman" w:hAnsi="Times New Roman" w:cs="Times New Roman"/>
          <w:sz w:val="24"/>
          <w:szCs w:val="24"/>
          <w:lang w:val="ru-RU"/>
        </w:rPr>
      </w:pPr>
    </w:p>
    <w:sectPr w:rsidR="00956107" w:rsidRPr="006326A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CD54E3"/>
    <w:multiLevelType w:val="hybridMultilevel"/>
    <w:tmpl w:val="91B698B0"/>
    <w:lvl w:ilvl="0" w:tplc="0CA4653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766DA2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BEE2C5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D4E2B8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AD4B63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55CB58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2226AC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A94C41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EC6CDE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360407F0"/>
    <w:multiLevelType w:val="hybridMultilevel"/>
    <w:tmpl w:val="6C9AED3E"/>
    <w:lvl w:ilvl="0" w:tplc="1A8A7F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7F29956">
      <w:start w:val="11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B806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0C30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EE3F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0E2A5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9486E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0888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B84A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700"/>
    <w:rsid w:val="00186DB7"/>
    <w:rsid w:val="00275F3C"/>
    <w:rsid w:val="002A3914"/>
    <w:rsid w:val="00345D56"/>
    <w:rsid w:val="003F3BDC"/>
    <w:rsid w:val="00420256"/>
    <w:rsid w:val="004E0AA9"/>
    <w:rsid w:val="006326A6"/>
    <w:rsid w:val="006C75E2"/>
    <w:rsid w:val="007633B8"/>
    <w:rsid w:val="00831FDC"/>
    <w:rsid w:val="008F3700"/>
    <w:rsid w:val="00904CA1"/>
    <w:rsid w:val="00956107"/>
    <w:rsid w:val="009B75B9"/>
    <w:rsid w:val="00AB7ACC"/>
    <w:rsid w:val="00B4087A"/>
    <w:rsid w:val="00C43B9D"/>
    <w:rsid w:val="00C43D7A"/>
    <w:rsid w:val="00C94470"/>
    <w:rsid w:val="00DD4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B4AD8"/>
  <w15:chartTrackingRefBased/>
  <w15:docId w15:val="{F2CB9D17-0F4E-476E-A4E4-FB7FDE6A3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3BDC"/>
  </w:style>
  <w:style w:type="paragraph" w:styleId="1">
    <w:name w:val="heading 1"/>
    <w:basedOn w:val="a"/>
    <w:next w:val="a"/>
    <w:link w:val="10"/>
    <w:uiPriority w:val="9"/>
    <w:qFormat/>
    <w:rsid w:val="00B408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326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unhideWhenUsed/>
    <w:rsid w:val="006326A6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B4087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B4087A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B4087A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13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4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137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09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542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8371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885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54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05336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321204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120209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21462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3423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07688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57380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46176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728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06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531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887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082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10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rdorintelligence.com/ru/industry-reports/australia-snack-bar-market" TargetMode="External"/><Relationship Id="rId3" Type="http://schemas.openxmlformats.org/officeDocument/2006/relationships/styles" Target="styles.xml"/><Relationship Id="rId7" Type="http://schemas.openxmlformats.org/officeDocument/2006/relationships/hyperlink" Target="https://dzen.ru/a/X608MEJ4N15-9a4i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datasets/amanarora/obesity-among-adults-by-country-19752016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8EBA5D-7BBE-45E9-8B14-BB3526B946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8</Pages>
  <Words>1249</Words>
  <Characters>7125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8</cp:revision>
  <dcterms:created xsi:type="dcterms:W3CDTF">2023-12-18T21:06:00Z</dcterms:created>
  <dcterms:modified xsi:type="dcterms:W3CDTF">2023-12-19T04:46:00Z</dcterms:modified>
</cp:coreProperties>
</file>