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E69" w:rsidRDefault="00377E69" w:rsidP="00377E69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szCs w:val="24"/>
          <w:shd w:val="solid" w:color="FFFFFF" w:fill="FFFFFF"/>
        </w:rPr>
      </w:pPr>
      <w:r w:rsidRPr="00642202">
        <w:rPr>
          <w:rFonts w:ascii="Arial" w:hAnsi="Arial" w:cs="Arial"/>
          <w:b/>
          <w:sz w:val="24"/>
          <w:szCs w:val="24"/>
          <w:shd w:val="solid" w:color="FFFFFF" w:fill="FFFFFF"/>
        </w:rPr>
        <w:t>S</w:t>
      </w:r>
      <w:r>
        <w:rPr>
          <w:rFonts w:ascii="Arial" w:hAnsi="Arial" w:cs="Arial"/>
          <w:b/>
          <w:sz w:val="24"/>
          <w:szCs w:val="24"/>
          <w:shd w:val="solid" w:color="FFFFFF" w:fill="FFFFFF"/>
        </w:rPr>
        <w:t>I 3</w:t>
      </w:r>
    </w:p>
    <w:p w:rsidR="00377E69" w:rsidRDefault="00377E69" w:rsidP="00377E69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sz w:val="24"/>
          <w:szCs w:val="24"/>
          <w:shd w:val="solid" w:color="FFFFFF" w:fill="FFFFFF"/>
        </w:rPr>
      </w:pPr>
      <w:r w:rsidRPr="00E02ECA">
        <w:rPr>
          <w:rFonts w:ascii="Arial" w:hAnsi="Arial" w:cs="Arial"/>
          <w:noProof/>
          <w:sz w:val="24"/>
          <w:szCs w:val="24"/>
          <w:shd w:val="solid" w:color="FFFFFF" w:fill="FFFFFF"/>
        </w:rPr>
        <w:t>Modeling</w:t>
      </w:r>
      <w:r w:rsidRPr="00AC157D">
        <w:rPr>
          <w:rFonts w:ascii="Arial" w:hAnsi="Arial" w:cs="Arial"/>
          <w:sz w:val="24"/>
          <w:szCs w:val="24"/>
          <w:shd w:val="solid" w:color="FFFFFF" w:fill="FFFFFF"/>
        </w:rPr>
        <w:t xml:space="preserve"> of the </w:t>
      </w:r>
      <w:proofErr w:type="spellStart"/>
      <w:r w:rsidRPr="00AC157D">
        <w:rPr>
          <w:rFonts w:ascii="Arial" w:hAnsi="Arial" w:cs="Arial"/>
          <w:sz w:val="24"/>
          <w:szCs w:val="24"/>
          <w:shd w:val="solid" w:color="FFFFFF" w:fill="FFFFFF"/>
        </w:rPr>
        <w:t>Gouy</w:t>
      </w:r>
      <w:proofErr w:type="spellEnd"/>
      <w:r w:rsidRPr="00AC157D">
        <w:rPr>
          <w:rFonts w:ascii="Arial" w:hAnsi="Arial" w:cs="Arial"/>
          <w:sz w:val="24"/>
          <w:szCs w:val="24"/>
          <w:shd w:val="solid" w:color="FFFFFF" w:fill="FFFFFF"/>
        </w:rPr>
        <w:t>-</w:t>
      </w:r>
      <w:r w:rsidRPr="00DF47BF">
        <w:rPr>
          <w:rFonts w:ascii="Arial" w:hAnsi="Arial" w:cs="Arial"/>
          <w:noProof/>
          <w:sz w:val="24"/>
          <w:szCs w:val="24"/>
          <w:shd w:val="solid" w:color="FFFFFF" w:fill="FFFFFF"/>
        </w:rPr>
        <w:t>Chapman-Stern</w:t>
      </w:r>
      <w:r>
        <w:rPr>
          <w:rFonts w:ascii="Arial" w:hAnsi="Arial" w:cs="Arial"/>
          <w:noProof/>
          <w:sz w:val="24"/>
          <w:szCs w:val="24"/>
          <w:shd w:val="solid" w:color="FFFFFF" w:fill="FFFFFF"/>
        </w:rPr>
        <w:t xml:space="preserve"> (GChS)</w:t>
      </w:r>
      <w:r w:rsidRPr="00AC157D">
        <w:rPr>
          <w:rFonts w:ascii="Arial" w:hAnsi="Arial" w:cs="Arial"/>
          <w:sz w:val="24"/>
          <w:szCs w:val="24"/>
          <w:shd w:val="solid" w:color="FFFFFF" w:fill="FFFFFF"/>
        </w:rPr>
        <w:t xml:space="preserve"> potentials and ion distribution in nearest proximity and on neuronal membrane surface</w:t>
      </w:r>
      <w:r>
        <w:rPr>
          <w:rFonts w:ascii="Arial" w:hAnsi="Arial" w:cs="Arial"/>
          <w:sz w:val="24"/>
          <w:szCs w:val="24"/>
          <w:shd w:val="solid" w:color="FFFFFF" w:fill="FFFFFF"/>
        </w:rPr>
        <w:t>.</w:t>
      </w:r>
    </w:p>
    <w:p w:rsidR="00377E69" w:rsidRPr="00AC157D" w:rsidRDefault="00377E69" w:rsidP="00377E69">
      <w:pPr>
        <w:shd w:val="clear" w:color="auto" w:fill="FFFFFF"/>
        <w:spacing w:line="360" w:lineRule="auto"/>
        <w:ind w:firstLine="720"/>
        <w:jc w:val="both"/>
        <w:rPr>
          <w:rFonts w:ascii="Arial" w:hAnsi="Arial" w:cs="Arial"/>
          <w:sz w:val="24"/>
          <w:szCs w:val="24"/>
          <w:shd w:val="solid" w:color="FFFFFF" w:fill="FFFFFF"/>
        </w:rPr>
      </w:pPr>
      <w:r w:rsidRPr="00AC157D">
        <w:rPr>
          <w:rFonts w:ascii="Arial" w:hAnsi="Arial" w:cs="Arial"/>
          <w:sz w:val="24"/>
          <w:szCs w:val="24"/>
          <w:shd w:val="solid" w:color="FFFFFF" w:fill="FFFFFF"/>
        </w:rPr>
        <w:t xml:space="preserve"> The values of membrane surface potential for intracellular and extracellular sides of the membrane </w:t>
      </w:r>
      <w:r w:rsidRPr="00DF47BF">
        <w:rPr>
          <w:rFonts w:ascii="Arial" w:hAnsi="Arial" w:cs="Arial"/>
          <w:noProof/>
          <w:sz w:val="24"/>
          <w:szCs w:val="24"/>
          <w:shd w:val="solid" w:color="FFFFFF" w:fill="FFFFFF"/>
        </w:rPr>
        <w:t>were calculated</w:t>
      </w:r>
      <w:r w:rsidRPr="00AC157D">
        <w:rPr>
          <w:rFonts w:ascii="Arial" w:hAnsi="Arial" w:cs="Arial"/>
          <w:sz w:val="24"/>
          <w:szCs w:val="24"/>
          <w:shd w:val="solid" w:color="FFFFFF" w:fill="FFFFFF"/>
        </w:rPr>
        <w:t xml:space="preserve"> by solving the set of equations: </w:t>
      </w:r>
    </w:p>
    <w:p w:rsidR="00377E69" w:rsidRPr="00AC157D" w:rsidRDefault="00377E69" w:rsidP="00377E69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=2∙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∙RT∙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(∞)∙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out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 Δ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Stern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(1)</m:t>
              </m:r>
            </m:e>
          </m:nary>
        </m:oMath>
      </m:oMathPara>
    </w:p>
    <w:p w:rsidR="00377E69" w:rsidRPr="00AC157D" w:rsidRDefault="00377E69" w:rsidP="00377E69">
      <w:pPr>
        <w:jc w:val="center"/>
        <w:rPr>
          <w:rFonts w:eastAsiaTheme="minorEastAsia"/>
          <w:sz w:val="24"/>
          <w:szCs w:val="24"/>
        </w:rPr>
      </w:pPr>
    </w:p>
    <w:p w:rsidR="00377E69" w:rsidRPr="00AC157D" w:rsidRDefault="00377E69" w:rsidP="00377E69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=2∙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∙RT∙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(∞)∙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)- Δ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Stern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(2)</m:t>
              </m:r>
            </m:e>
          </m:nary>
        </m:oMath>
      </m:oMathPara>
    </w:p>
    <w:p w:rsidR="00377E69" w:rsidRPr="00AC157D" w:rsidRDefault="00377E69" w:rsidP="00377E6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Stern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Stern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Stern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(3)</m:t>
          </m:r>
        </m:oMath>
      </m:oMathPara>
    </w:p>
    <w:p w:rsidR="00377E69" w:rsidRPr="00AC157D" w:rsidRDefault="00377E69" w:rsidP="00377E69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Stern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Stern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Stern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(4)</m:t>
          </m:r>
        </m:oMath>
      </m:oMathPara>
    </w:p>
    <w:p w:rsidR="00377E69" w:rsidRPr="00AC157D" w:rsidRDefault="00377E69" w:rsidP="00377E69">
      <w:pPr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Stern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lipid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(∞)∙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out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 Δ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Stern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(∞)∙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out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 Δ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Stern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(5)</m:t>
          </m:r>
        </m:oMath>
      </m:oMathPara>
    </w:p>
    <w:p w:rsidR="00377E69" w:rsidRPr="00AC157D" w:rsidRDefault="00377E69" w:rsidP="00377E69">
      <w:pPr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Stern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lipid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(∞)∙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)- Δ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Stern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(∞)∙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)- Δ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Stern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(6)</m:t>
          </m:r>
        </m:oMath>
      </m:oMathPara>
    </w:p>
    <w:p w:rsidR="00377E69" w:rsidRPr="00AC157D" w:rsidRDefault="00377E69" w:rsidP="00377E69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∙</m:t>
          </m:r>
          <m:rad>
            <m:ra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(7)</m:t>
          </m:r>
        </m:oMath>
      </m:oMathPara>
    </w:p>
    <w:p w:rsidR="00377E69" w:rsidRPr="00AC157D" w:rsidRDefault="00377E69" w:rsidP="00377E69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kT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(8)</m:t>
          </m:r>
        </m:oMath>
      </m:oMathPara>
    </w:p>
    <w:p w:rsidR="00377E69" w:rsidRPr="00AC157D" w:rsidRDefault="00377E69" w:rsidP="00377E6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86.96-0.334∙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T-273.15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Sol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(9)</m:t>
          </m:r>
        </m:oMath>
      </m:oMathPara>
    </w:p>
    <w:p w:rsidR="00377E69" w:rsidRPr="00AC157D" w:rsidRDefault="00377E69" w:rsidP="00377E6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EastAsia" w:hAnsi="Courier New" w:cs="Courier New"/>
          <w:sz w:val="24"/>
          <w:szCs w:val="24"/>
        </w:rPr>
      </w:pPr>
    </w:p>
    <w:p w:rsidR="00377E69" w:rsidRPr="00AC157D" w:rsidRDefault="00377E69" w:rsidP="00377E6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Sol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1-0.255∙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+5.151∙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Sol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-6.889∙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Sol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(10)</m:t>
          </m:r>
        </m:oMath>
      </m:oMathPara>
    </w:p>
    <w:p w:rsidR="00377E69" w:rsidRPr="00AC157D" w:rsidRDefault="00377E69" w:rsidP="00377E6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377E69" w:rsidRPr="00AC157D" w:rsidRDefault="00377E69" w:rsidP="00377E69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in\out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Stern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Stern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Sol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(11) </m:t>
          </m:r>
        </m:oMath>
      </m:oMathPara>
    </w:p>
    <w:p w:rsidR="00377E69" w:rsidRPr="00AC157D" w:rsidRDefault="00377E69" w:rsidP="00377E6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F∙φ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RT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(12)</m:t>
          </m:r>
        </m:oMath>
      </m:oMathPara>
    </w:p>
    <w:p w:rsidR="00377E69" w:rsidRPr="00AC157D" w:rsidRDefault="00377E69" w:rsidP="00377E6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Ф∙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(13)</m:t>
          </m:r>
        </m:oMath>
      </m:oMathPara>
    </w:p>
    <w:p w:rsidR="00377E69" w:rsidRPr="00AC157D" w:rsidRDefault="00377E69" w:rsidP="00377E6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λ=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Sol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(∞)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  (14)</m:t>
          </m:r>
        </m:oMath>
      </m:oMathPara>
    </w:p>
    <w:p w:rsidR="00377E69" w:rsidRPr="009F1B73" w:rsidRDefault="00377E69" w:rsidP="00377E69">
      <w:pPr>
        <w:shd w:val="clear" w:color="auto" w:fill="FFFFFF"/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9F1B73">
        <w:rPr>
          <w:rFonts w:ascii="Arial" w:eastAsiaTheme="minorEastAsia" w:hAnsi="Arial" w:cs="Arial"/>
          <w:sz w:val="24"/>
          <w:szCs w:val="24"/>
        </w:rPr>
        <w:t>Where:</w:t>
      </w:r>
    </w:p>
    <w:p w:rsidR="00377E69" w:rsidRPr="00AC157D" w:rsidRDefault="00377E69" w:rsidP="00377E69">
      <w:pPr>
        <w:shd w:val="clear" w:color="auto" w:fill="FFFFFF"/>
        <w:spacing w:line="24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out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in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- Charge density of the outer and inner side of membrane (</w:t>
      </w:r>
      <w:r w:rsidRPr="009936A3">
        <w:rPr>
          <w:rFonts w:ascii="Arial" w:eastAsiaTheme="minorEastAsia" w:hAnsi="Arial" w:cs="Arial"/>
          <w:sz w:val="24"/>
          <w:szCs w:val="24"/>
        </w:rPr>
        <w:t>-0.0</w:t>
      </w:r>
      <w:r>
        <w:rPr>
          <w:rFonts w:ascii="Arial" w:eastAsiaTheme="minorEastAsia" w:hAnsi="Arial" w:cs="Arial"/>
          <w:sz w:val="24"/>
          <w:szCs w:val="24"/>
        </w:rPr>
        <w:t>161, -0.0060 C/m);</w:t>
      </w:r>
    </w:p>
    <w:p w:rsidR="00377E69" w:rsidRPr="00377850" w:rsidRDefault="00377E69" w:rsidP="00377E69">
      <w:pPr>
        <w:shd w:val="clear" w:color="auto" w:fill="FFFFFF"/>
        <w:spacing w:line="24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out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- Potentials at inner and outer side of membrane;</w:t>
      </w:r>
    </w:p>
    <w:p w:rsidR="00377E69" w:rsidRPr="00377850" w:rsidRDefault="00377E69" w:rsidP="00377E69">
      <w:pPr>
        <w:shd w:val="clear" w:color="auto" w:fill="FFFFFF"/>
        <w:spacing w:line="24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Pr="00377850">
        <w:rPr>
          <w:rFonts w:ascii="Arial" w:eastAsiaTheme="minorEastAsia" w:hAnsi="Arial" w:cs="Arial"/>
          <w:sz w:val="24"/>
          <w:szCs w:val="24"/>
        </w:rPr>
        <w:t> </w:t>
      </w:r>
      <w:r>
        <w:rPr>
          <w:rFonts w:ascii="Arial" w:eastAsiaTheme="minorEastAsia" w:hAnsi="Arial" w:cs="Arial"/>
          <w:sz w:val="24"/>
          <w:szCs w:val="24"/>
        </w:rPr>
        <w:t xml:space="preserve"> - </w:t>
      </w:r>
      <w:r w:rsidRPr="00377850">
        <w:rPr>
          <w:rFonts w:ascii="Arial" w:eastAsiaTheme="minorEastAsia" w:hAnsi="Arial" w:cs="Arial"/>
          <w:sz w:val="24"/>
          <w:szCs w:val="24"/>
        </w:rPr>
        <w:t xml:space="preserve"> Transmembrane</w:t>
      </w:r>
      <w:r>
        <w:rPr>
          <w:rFonts w:ascii="Arial" w:eastAsiaTheme="minorEastAsia" w:hAnsi="Arial" w:cs="Arial"/>
          <w:sz w:val="24"/>
          <w:szCs w:val="24"/>
        </w:rPr>
        <w:t xml:space="preserve"> voltage </w:t>
      </w:r>
      <w:proofErr w:type="gramStart"/>
      <w:r>
        <w:rPr>
          <w:rFonts w:ascii="Arial" w:eastAsiaTheme="minorEastAsia" w:hAnsi="Arial" w:cs="Arial"/>
          <w:sz w:val="24"/>
          <w:szCs w:val="24"/>
        </w:rPr>
        <w:t>drop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measured at points of bulk solutions;</w:t>
      </w:r>
    </w:p>
    <w:p w:rsidR="00377E69" w:rsidRPr="00377850" w:rsidRDefault="00377E69" w:rsidP="00377E69">
      <w:pPr>
        <w:shd w:val="clear" w:color="auto" w:fill="FFFFFF"/>
        <w:spacing w:line="24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out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Stern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, Δ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Stern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377850">
        <w:rPr>
          <w:rFonts w:ascii="Arial" w:eastAsiaTheme="minorEastAsia" w:hAnsi="Arial" w:cs="Arial"/>
          <w:sz w:val="24"/>
          <w:szCs w:val="24"/>
        </w:rPr>
        <w:t>- Potential</w:t>
      </w:r>
      <w:r>
        <w:rPr>
          <w:rFonts w:ascii="Arial" w:eastAsiaTheme="minorEastAsia" w:hAnsi="Arial" w:cs="Arial"/>
          <w:sz w:val="24"/>
          <w:szCs w:val="24"/>
        </w:rPr>
        <w:t xml:space="preserve"> drop at outer and inner surfaces of membrane due to Stern layers;</w:t>
      </w:r>
    </w:p>
    <w:p w:rsidR="00377E69" w:rsidRPr="00D231E3" w:rsidRDefault="00377E69" w:rsidP="00377E69">
      <w:pPr>
        <w:shd w:val="clear" w:color="auto" w:fill="FFFFFF"/>
        <w:spacing w:line="24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Pr="00E2331B">
        <w:rPr>
          <w:rFonts w:ascii="Arial" w:eastAsiaTheme="minorEastAsia" w:hAnsi="Arial" w:cs="Arial"/>
          <w:sz w:val="24"/>
          <w:szCs w:val="24"/>
        </w:rPr>
        <w:t xml:space="preserve"> - Membrane </w:t>
      </w:r>
      <w:r w:rsidRPr="00D231E3">
        <w:rPr>
          <w:rFonts w:ascii="Arial" w:eastAsiaTheme="minorEastAsia" w:hAnsi="Arial" w:cs="Arial"/>
          <w:sz w:val="24"/>
          <w:szCs w:val="24"/>
        </w:rPr>
        <w:t>permittivity</w:t>
      </w:r>
      <w:r>
        <w:rPr>
          <w:rFonts w:ascii="Arial" w:eastAsiaTheme="minorEastAsia" w:hAnsi="Arial" w:cs="Arial"/>
          <w:sz w:val="24"/>
          <w:szCs w:val="24"/>
        </w:rPr>
        <w:t xml:space="preserve"> (3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×ε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)</w:t>
      </w:r>
      <w:r w:rsidRPr="00D231E3">
        <w:rPr>
          <w:rFonts w:ascii="Arial" w:eastAsiaTheme="minorEastAsia" w:hAnsi="Arial" w:cs="Arial"/>
          <w:sz w:val="24"/>
          <w:szCs w:val="24"/>
        </w:rPr>
        <w:t xml:space="preserve">; </w:t>
      </w:r>
    </w:p>
    <w:p w:rsidR="00377E69" w:rsidRPr="00D231E3" w:rsidRDefault="00377E69" w:rsidP="00377E69">
      <w:pPr>
        <w:shd w:val="clear" w:color="auto" w:fill="FFFFFF"/>
        <w:spacing w:line="24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-  </w:t>
      </w:r>
      <w:r w:rsidRPr="00D231E3">
        <w:rPr>
          <w:rFonts w:ascii="Arial" w:eastAsiaTheme="minorEastAsia" w:hAnsi="Arial" w:cs="Arial"/>
          <w:sz w:val="24"/>
          <w:szCs w:val="24"/>
        </w:rPr>
        <w:t>Membrane bilayer th</w:t>
      </w:r>
      <w:r>
        <w:rPr>
          <w:rFonts w:ascii="Arial" w:eastAsiaTheme="minorEastAsia" w:hAnsi="Arial" w:cs="Arial"/>
          <w:sz w:val="24"/>
          <w:szCs w:val="24"/>
        </w:rPr>
        <w:t>ickness (5 nm);</w:t>
      </w:r>
    </w:p>
    <w:p w:rsidR="00377E69" w:rsidRPr="00AC157D" w:rsidRDefault="00377E69" w:rsidP="00377E69">
      <w:pPr>
        <w:shd w:val="clear" w:color="auto" w:fill="FFFFFF"/>
        <w:spacing w:line="24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Sol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- Bulk solution</w:t>
      </w:r>
      <w:r w:rsidRPr="00D231E3">
        <w:rPr>
          <w:rFonts w:ascii="Arial" w:eastAsiaTheme="minorEastAsia" w:hAnsi="Arial" w:cs="Arial"/>
          <w:sz w:val="24"/>
          <w:szCs w:val="24"/>
        </w:rPr>
        <w:t xml:space="preserve"> permittivity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×ε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>)</w:t>
      </w:r>
      <w:r w:rsidRPr="00D231E3">
        <w:rPr>
          <w:rFonts w:ascii="Arial" w:eastAsiaTheme="minorEastAsia" w:hAnsi="Arial" w:cs="Arial"/>
          <w:sz w:val="24"/>
          <w:szCs w:val="24"/>
        </w:rPr>
        <w:t xml:space="preserve">; </w:t>
      </w:r>
    </w:p>
    <w:p w:rsidR="00377E69" w:rsidRPr="00D231E3" w:rsidRDefault="00377E69" w:rsidP="00377E69">
      <w:pPr>
        <w:shd w:val="clear" w:color="auto" w:fill="FFFFFF"/>
        <w:spacing w:line="240" w:lineRule="auto"/>
        <w:rPr>
          <w:rFonts w:eastAsiaTheme="minorEastAsia" w:cstheme="minorHAnsi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out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in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∞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50003F">
        <w:rPr>
          <w:rFonts w:ascii="Arial" w:eastAsiaTheme="minorEastAsia" w:hAnsi="Arial" w:cs="Arial"/>
          <w:sz w:val="24"/>
          <w:szCs w:val="24"/>
        </w:rPr>
        <w:t>- Outer and inner concentrations of bulk solutions;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Valence of i-th type of ion in the solution;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2331B">
        <w:rPr>
          <w:rFonts w:ascii="Arial" w:eastAsiaTheme="minorEastAsia" w:hAnsi="Arial" w:cs="Arial"/>
          <w:sz w:val="24"/>
          <w:szCs w:val="24"/>
        </w:rPr>
        <w:t>R</w:t>
      </w:r>
      <w:r w:rsidRPr="00AC157D">
        <w:rPr>
          <w:rFonts w:ascii="Arial" w:eastAsiaTheme="minorEastAsia" w:hAnsi="Arial" w:cs="Arial"/>
          <w:sz w:val="24"/>
          <w:szCs w:val="24"/>
        </w:rPr>
        <w:t xml:space="preserve"> – Universal gas constant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w:r w:rsidRPr="00A94BE8">
        <w:rPr>
          <w:rFonts w:ascii="Arial" w:eastAsiaTheme="minorEastAsia" w:hAnsi="Arial" w:cs="Arial"/>
          <w:sz w:val="24"/>
          <w:szCs w:val="24"/>
        </w:rPr>
        <w:t>8.3144598</w:t>
      </w:r>
      <w:r>
        <w:rPr>
          <w:rFonts w:ascii="Arial" w:eastAsiaTheme="minorEastAsia" w:hAnsi="Arial" w:cs="Arial"/>
          <w:sz w:val="24"/>
          <w:szCs w:val="24"/>
        </w:rPr>
        <w:t xml:space="preserve"> J/(</w:t>
      </w:r>
      <w:proofErr w:type="spellStart"/>
      <w:r>
        <w:rPr>
          <w:rFonts w:ascii="Arial" w:eastAsiaTheme="minorEastAsia" w:hAnsi="Arial" w:cs="Arial"/>
          <w:sz w:val="24"/>
          <w:szCs w:val="24"/>
        </w:rPr>
        <w:t>mol</w:t>
      </w:r>
      <w:proofErr w:type="spellEnd"/>
      <w:r w:rsidRPr="00E2331B">
        <w:rPr>
          <w:rFonts w:ascii="MS Gothic" w:eastAsia="MS Gothic" w:hAnsi="MS Gothic" w:cs="MS Gothic" w:hint="eastAsia"/>
          <w:sz w:val="24"/>
          <w:szCs w:val="24"/>
        </w:rPr>
        <w:t>‧</w:t>
      </w:r>
      <w:r>
        <w:rPr>
          <w:rFonts w:ascii="Arial" w:eastAsiaTheme="minorEastAsia" w:hAnsi="Arial" w:cs="Arial"/>
          <w:sz w:val="24"/>
          <w:szCs w:val="24"/>
        </w:rPr>
        <w:t>K))</w:t>
      </w:r>
      <w:r w:rsidRPr="00AC157D">
        <w:rPr>
          <w:rFonts w:ascii="Arial" w:eastAsiaTheme="minorEastAsia" w:hAnsi="Arial" w:cs="Arial"/>
          <w:sz w:val="24"/>
          <w:szCs w:val="24"/>
        </w:rPr>
        <w:t>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out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Stern</m:t>
            </m:r>
          </m:sup>
        </m:sSub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in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Stern</m:t>
            </m:r>
          </m:sup>
        </m:sSubSup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The thickness of Stern layer on outer and inner side of the membrane;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out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Stern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Stern</m:t>
            </m:r>
          </m:sup>
        </m:sSubSup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Stern layer permittivity on outer and inner side of the membrane;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lipid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out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lipid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-</w:t>
      </w:r>
      <w:r w:rsidRPr="00AC157D">
        <w:rPr>
          <w:rFonts w:ascii="Arial" w:eastAsiaTheme="minorEastAsia" w:hAnsi="Arial" w:cs="Arial"/>
          <w:sz w:val="24"/>
          <w:szCs w:val="24"/>
        </w:rPr>
        <w:t xml:space="preserve"> The size of the hydrated lipid heads on outer and inner layer;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The s</w:t>
      </w:r>
      <w:proofErr w:type="spellStart"/>
      <w:r w:rsidRPr="00AC157D">
        <w:rPr>
          <w:rFonts w:ascii="Arial" w:eastAsiaTheme="minorEastAsia" w:hAnsi="Arial" w:cs="Arial"/>
          <w:sz w:val="24"/>
          <w:szCs w:val="24"/>
        </w:rPr>
        <w:t>ize</w:t>
      </w:r>
      <w:proofErr w:type="spellEnd"/>
      <w:r w:rsidRPr="00AC157D">
        <w:rPr>
          <w:rFonts w:ascii="Arial" w:eastAsiaTheme="minorEastAsia" w:hAnsi="Arial" w:cs="Arial"/>
          <w:sz w:val="24"/>
          <w:szCs w:val="24"/>
        </w:rPr>
        <w:t xml:space="preserve"> of the hydrated </w:t>
      </w:r>
      <w:proofErr w:type="spellStart"/>
      <w:r w:rsidRPr="00AC157D">
        <w:rPr>
          <w:rFonts w:ascii="Arial" w:eastAsiaTheme="minorEastAsia" w:hAnsi="Arial" w:cs="Arial"/>
          <w:sz w:val="24"/>
          <w:szCs w:val="24"/>
        </w:rPr>
        <w:t>i-th</w:t>
      </w:r>
      <w:proofErr w:type="spellEnd"/>
      <w:r w:rsidRPr="00AC157D">
        <w:rPr>
          <w:rFonts w:ascii="Arial" w:eastAsiaTheme="minorEastAsia" w:hAnsi="Arial" w:cs="Arial"/>
          <w:sz w:val="24"/>
          <w:szCs w:val="24"/>
        </w:rPr>
        <w:t xml:space="preserve"> ion in the solution;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bSup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The bare ion size;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The ion hydrating factor for i-th ion;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The average hydrating number for i-th ion;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The average binding energy of water molecules for i-th ion;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Sol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Pr="00AC157D">
        <w:rPr>
          <w:rFonts w:ascii="Arial" w:eastAsiaTheme="minorEastAsia" w:hAnsi="Arial" w:cs="Arial"/>
          <w:sz w:val="24"/>
          <w:szCs w:val="24"/>
        </w:rPr>
        <w:t xml:space="preserve"> - The normality of the solution;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Concentration dependent permittivity altering factor;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The function of potential distribution from membrane surface into bulk solution;</w:t>
      </w:r>
    </w:p>
    <w:p w:rsidR="00377E69" w:rsidRPr="00AC157D" w:rsidRDefault="00377E69" w:rsidP="00377E69">
      <w:pPr>
        <w:shd w:val="clear" w:color="auto" w:fill="FFFFFF"/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AC157D">
        <w:rPr>
          <w:rFonts w:ascii="Arial" w:eastAsiaTheme="minorEastAsia" w:hAnsi="Arial" w:cs="Arial"/>
          <w:sz w:val="24"/>
          <w:szCs w:val="24"/>
        </w:rPr>
        <w:t xml:space="preserve"> – Debye length;</w:t>
      </w:r>
    </w:p>
    <w:p w:rsidR="00377E69" w:rsidRDefault="00377E69" w:rsidP="00377E69">
      <w:pPr>
        <w:shd w:val="clear" w:color="auto" w:fill="FFFFFF"/>
        <w:spacing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AC157D">
        <w:rPr>
          <w:rFonts w:ascii="Bell MT" w:hAnsi="Bell MT" w:cs="Arial"/>
          <w:i/>
          <w:sz w:val="24"/>
          <w:szCs w:val="24"/>
          <w:shd w:val="solid" w:color="FFFFFF" w:fill="FFFFFF"/>
        </w:rPr>
        <w:t>T</w:t>
      </w:r>
      <w:r w:rsidRPr="00AC157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–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</w:t>
      </w:r>
      <w:r w:rsidRPr="00AC157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emperature in Celsius scale </w:t>
      </w:r>
      <w:proofErr w:type="gramStart"/>
      <w:r w:rsidRPr="00AC157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( </w:t>
      </w:r>
      <w:r w:rsidRPr="009B2D4B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rtl/>
          <w:lang w:bidi="he-IL"/>
        </w:rPr>
        <w:t>֩</w:t>
      </w:r>
      <w:proofErr w:type="gramEnd"/>
      <w:r w:rsidRPr="009B2D4B"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t>C).</w:t>
      </w:r>
    </w:p>
    <w:p w:rsidR="00377E69" w:rsidRDefault="00377E69" w:rsidP="00377E69">
      <w:pPr>
        <w:shd w:val="clear" w:color="auto" w:fill="FFFFFF"/>
        <w:spacing w:line="240" w:lineRule="auto"/>
        <w:ind w:firstLine="851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Some additional values or specific parameters used in the model </w:t>
      </w:r>
      <w:r w:rsidRPr="009B2D4B"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t>are provided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in</w:t>
      </w:r>
      <w:r w:rsidRPr="009B2D4B"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t xml:space="preserve"> Table</w:t>
      </w: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t xml:space="preserve"> @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E82B8E">
        <w:rPr>
          <w:rFonts w:ascii="Arial" w:hAnsi="Arial" w:cs="Arial"/>
          <w:color w:val="FFFFFF" w:themeColor="background1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</w:t>
      </w:r>
    </w:p>
    <w:p w:rsidR="00377E69" w:rsidRPr="00AC157D" w:rsidRDefault="00377E69" w:rsidP="00377E69">
      <w:pPr>
        <w:shd w:val="clear" w:color="auto" w:fill="FFFFFF"/>
        <w:spacing w:line="240" w:lineRule="auto"/>
        <w:ind w:firstLine="851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tbl>
      <w:tblPr>
        <w:tblStyle w:val="TableGrid"/>
        <w:tblW w:w="9072" w:type="dxa"/>
        <w:tblInd w:w="57" w:type="dxa"/>
        <w:tblLook w:val="04A0" w:firstRow="1" w:lastRow="0" w:firstColumn="1" w:lastColumn="0" w:noHBand="0" w:noVBand="1"/>
      </w:tblPr>
      <w:tblGrid>
        <w:gridCol w:w="1830"/>
        <w:gridCol w:w="1795"/>
        <w:gridCol w:w="1795"/>
        <w:gridCol w:w="1857"/>
        <w:gridCol w:w="1795"/>
      </w:tblGrid>
      <w:tr w:rsidR="00377E69" w:rsidTr="00E3533B">
        <w:trPr>
          <w:trHeight w:val="382"/>
        </w:trPr>
        <w:tc>
          <w:tcPr>
            <w:tcW w:w="2129" w:type="dxa"/>
            <w:vAlign w:val="center"/>
          </w:tcPr>
          <w:p w:rsidR="00377E69" w:rsidRPr="00E349C4" w:rsidRDefault="00377E69" w:rsidP="00E3533B">
            <w:pPr>
              <w:shd w:val="clear" w:color="auto" w:fill="FFFFFF"/>
              <w:jc w:val="center"/>
              <w:rPr>
                <w:rFonts w:ascii="Arial" w:hAnsi="Arial" w:cs="Arial"/>
                <w:b/>
                <w:sz w:val="24"/>
                <w:szCs w:val="24"/>
                <w:shd w:val="solid" w:color="FFFFFF" w:fill="FFFFFF"/>
              </w:rPr>
            </w:pPr>
            <w:r>
              <w:rPr>
                <w:rFonts w:ascii="Arial" w:hAnsi="Arial" w:cs="Arial"/>
                <w:b/>
                <w:color w:val="252525"/>
                <w:sz w:val="24"/>
                <w:szCs w:val="24"/>
                <w:shd w:val="clear" w:color="auto" w:fill="FFFFFF"/>
              </w:rPr>
              <w:t>Table @</w:t>
            </w:r>
            <w:r w:rsidRPr="00E349C4">
              <w:rPr>
                <w:rFonts w:ascii="Arial" w:hAnsi="Arial" w:cs="Arial"/>
                <w:b/>
                <w:color w:val="252525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8520" w:type="dxa"/>
            <w:gridSpan w:val="4"/>
            <w:vAlign w:val="center"/>
          </w:tcPr>
          <w:p w:rsidR="00377E69" w:rsidRDefault="00377E69" w:rsidP="00E3533B">
            <w:pPr>
              <w:shd w:val="clear" w:color="auto" w:fill="FFFFFF"/>
              <w:jc w:val="center"/>
              <w:rPr>
                <w:rFonts w:ascii="Arial" w:eastAsia="Calibri" w:hAnsi="Arial" w:cs="Arial"/>
                <w:b/>
                <w:sz w:val="24"/>
                <w:szCs w:val="24"/>
                <w:shd w:val="solid" w:color="FFFFFF" w:fill="FFFFFF"/>
              </w:rPr>
            </w:pPr>
            <w:r w:rsidRPr="00E349C4">
              <w:rPr>
                <w:rFonts w:ascii="Arial" w:eastAsia="Calibri" w:hAnsi="Arial" w:cs="Arial"/>
                <w:b/>
                <w:sz w:val="24"/>
                <w:szCs w:val="24"/>
                <w:shd w:val="solid" w:color="FFFFFF" w:fill="FFFFFF"/>
              </w:rPr>
              <w:t xml:space="preserve">Parameters of ions size alterations with temperature </w:t>
            </w:r>
          </w:p>
          <w:p w:rsidR="00377E69" w:rsidRPr="00E349C4" w:rsidRDefault="00377E69" w:rsidP="00E3533B">
            <w:pPr>
              <w:shd w:val="clear" w:color="auto" w:fill="FFFFFF"/>
              <w:jc w:val="center"/>
              <w:rPr>
                <w:rFonts w:ascii="Arial" w:eastAsia="Calibri" w:hAnsi="Arial" w:cs="Arial"/>
                <w:sz w:val="24"/>
                <w:szCs w:val="24"/>
                <w:shd w:val="solid" w:color="FFFFFF" w:fill="FFFFFF"/>
              </w:rPr>
            </w:pPr>
            <w:r w:rsidRPr="00E349C4">
              <w:rPr>
                <w:rFonts w:ascii="Arial" w:eastAsia="Calibri" w:hAnsi="Arial" w:cs="Arial"/>
                <w:sz w:val="24"/>
                <w:szCs w:val="24"/>
                <w:shd w:val="solid" w:color="FFFFFF" w:fill="FFFFFF"/>
              </w:rPr>
              <w:t>(for non-concentrated solutions)</w:t>
            </w:r>
          </w:p>
        </w:tc>
      </w:tr>
      <w:tr w:rsidR="00377E69" w:rsidTr="00E3533B">
        <w:trPr>
          <w:trHeight w:val="382"/>
        </w:trPr>
        <w:tc>
          <w:tcPr>
            <w:tcW w:w="2129" w:type="dxa"/>
            <w:vAlign w:val="center"/>
          </w:tcPr>
          <w:p w:rsidR="00377E69" w:rsidRPr="00E349C4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</w:pPr>
            <w:r w:rsidRPr="00E349C4"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  <w:t>Ion</w:t>
            </w:r>
          </w:p>
        </w:tc>
        <w:tc>
          <w:tcPr>
            <w:tcW w:w="2130" w:type="dxa"/>
            <w:vAlign w:val="center"/>
          </w:tcPr>
          <w:p w:rsidR="00377E69" w:rsidRPr="00E349C4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</w:pP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solid" w:color="FFFFFF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solid" w:color="FFFFFF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solid" w:color="FFFFFF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solid" w:color="FFFFFF" w:fill="FFFFFF"/>
                    </w:rPr>
                    <m:t>0</m:t>
                  </m:r>
                </m:sup>
              </m:sSubSup>
            </m:oMath>
            <w:r w:rsidRPr="00E349C4"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  <w:t xml:space="preserve"> , Å</w:t>
            </w:r>
          </w:p>
        </w:tc>
        <w:tc>
          <w:tcPr>
            <w:tcW w:w="2130" w:type="dxa"/>
            <w:vAlign w:val="center"/>
          </w:tcPr>
          <w:p w:rsidR="00377E69" w:rsidRPr="00E349C4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  <w:shd w:val="solid" w:color="FFFFFF" w:fill="FFFFFF"/>
                </w:rPr>
                <m:t>Δ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solid" w:color="FFFFFF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solid" w:color="FFFFFF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solid" w:color="FFFFFF" w:fill="FFFFFF"/>
                    </w:rPr>
                    <m:t>i</m:t>
                  </m:r>
                </m:sub>
              </m:sSub>
            </m:oMath>
            <w:r w:rsidRPr="00E349C4"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  <w:t>, Å</w:t>
            </w:r>
          </w:p>
        </w:tc>
        <w:tc>
          <w:tcPr>
            <w:tcW w:w="2130" w:type="dxa"/>
            <w:vAlign w:val="center"/>
          </w:tcPr>
          <w:p w:rsidR="00377E69" w:rsidRPr="00E349C4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</w:pPr>
            <w:r w:rsidRPr="00E349C4"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  <w:t xml:space="preserve">Ai, </w:t>
            </w:r>
            <w:proofErr w:type="spellStart"/>
            <w:r w:rsidRPr="00E349C4"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  <w:t>a.u</w:t>
            </w:r>
            <w:proofErr w:type="spellEnd"/>
            <w:r w:rsidRPr="00E349C4"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  <w:t>.</w:t>
            </w:r>
          </w:p>
        </w:tc>
        <w:tc>
          <w:tcPr>
            <w:tcW w:w="2130" w:type="dxa"/>
            <w:vAlign w:val="center"/>
          </w:tcPr>
          <w:p w:rsidR="00377E69" w:rsidRPr="00E349C4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solid" w:color="FFFFFF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solid" w:color="FFFFFF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shd w:val="solid" w:color="FFFFFF" w:fill="FFFFFF"/>
                    </w:rPr>
                    <m:t>i</m:t>
                  </m:r>
                </m:sub>
              </m:sSub>
            </m:oMath>
            <w:r w:rsidRPr="00E349C4"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  <w:t xml:space="preserve"> , 10</w:t>
            </w:r>
            <w:r w:rsidRPr="00E349C4">
              <w:rPr>
                <w:rFonts w:ascii="Arial" w:hAnsi="Arial" w:cs="Arial"/>
                <w:i/>
                <w:sz w:val="24"/>
                <w:szCs w:val="24"/>
                <w:shd w:val="solid" w:color="FFFFFF" w:fill="FFFFFF"/>
                <w:vertAlign w:val="superscript"/>
              </w:rPr>
              <w:t>-20</w:t>
            </w:r>
            <w:r w:rsidRPr="00E349C4">
              <w:rPr>
                <w:rFonts w:ascii="Arial" w:hAnsi="Arial" w:cs="Arial"/>
                <w:i/>
                <w:sz w:val="24"/>
                <w:szCs w:val="24"/>
                <w:shd w:val="solid" w:color="FFFFFF" w:fill="FFFFFF"/>
              </w:rPr>
              <w:t xml:space="preserve"> J</w:t>
            </w:r>
          </w:p>
        </w:tc>
      </w:tr>
      <w:tr w:rsidR="00377E69" w:rsidTr="00E3533B">
        <w:trPr>
          <w:trHeight w:val="363"/>
        </w:trPr>
        <w:tc>
          <w:tcPr>
            <w:tcW w:w="2129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Na</w:t>
            </w:r>
            <w:r w:rsidRPr="00E2331B">
              <w:rPr>
                <w:rFonts w:ascii="Arial" w:hAnsi="Arial" w:cs="Arial"/>
                <w:sz w:val="24"/>
                <w:szCs w:val="24"/>
                <w:shd w:val="solid" w:color="FFFFFF" w:fill="FFFFFF"/>
                <w:vertAlign w:val="superscript"/>
              </w:rPr>
              <w:t>+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0.91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0.76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0.0397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-2.23</w:t>
            </w:r>
          </w:p>
        </w:tc>
      </w:tr>
      <w:tr w:rsidR="00377E69" w:rsidTr="00E3533B">
        <w:trPr>
          <w:trHeight w:val="363"/>
        </w:trPr>
        <w:tc>
          <w:tcPr>
            <w:tcW w:w="2129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K</w:t>
            </w:r>
            <w:r w:rsidRPr="00E2331B">
              <w:rPr>
                <w:rFonts w:ascii="Arial" w:hAnsi="Arial" w:cs="Arial"/>
                <w:sz w:val="24"/>
                <w:szCs w:val="24"/>
                <w:shd w:val="solid" w:color="FFFFFF" w:fill="FFFFFF"/>
                <w:vertAlign w:val="superscript"/>
              </w:rPr>
              <w:t>+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1.43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0.69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0.0114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-2.53</w:t>
            </w:r>
          </w:p>
        </w:tc>
      </w:tr>
      <w:tr w:rsidR="00377E69" w:rsidTr="00E3533B">
        <w:trPr>
          <w:trHeight w:val="366"/>
        </w:trPr>
        <w:tc>
          <w:tcPr>
            <w:tcW w:w="2129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Cl</w:t>
            </w:r>
            <w:r w:rsidRPr="00E2331B">
              <w:rPr>
                <w:rFonts w:ascii="Arial" w:hAnsi="Arial" w:cs="Arial"/>
                <w:sz w:val="24"/>
                <w:szCs w:val="24"/>
                <w:shd w:val="solid" w:color="FFFFFF" w:fill="FFFFFF"/>
                <w:vertAlign w:val="superscript"/>
              </w:rPr>
              <w:t>-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1.95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0.62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0.0049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-2.82</w:t>
            </w:r>
          </w:p>
        </w:tc>
      </w:tr>
      <w:tr w:rsidR="00377E69" w:rsidTr="00E3533B">
        <w:trPr>
          <w:trHeight w:val="259"/>
        </w:trPr>
        <w:tc>
          <w:tcPr>
            <w:tcW w:w="2129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Ca</w:t>
            </w:r>
            <w:r w:rsidRPr="00E2331B">
              <w:rPr>
                <w:rFonts w:ascii="Arial" w:hAnsi="Arial" w:cs="Arial"/>
                <w:sz w:val="24"/>
                <w:szCs w:val="24"/>
                <w:shd w:val="solid" w:color="FFFFFF" w:fill="FFFFFF"/>
                <w:vertAlign w:val="superscript"/>
              </w:rPr>
              <w:t>2+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0.85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1.61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2.37</w:t>
            </w:r>
          </w:p>
        </w:tc>
        <w:tc>
          <w:tcPr>
            <w:tcW w:w="2130" w:type="dxa"/>
            <w:vAlign w:val="center"/>
          </w:tcPr>
          <w:p w:rsidR="00377E69" w:rsidRPr="009A19C5" w:rsidRDefault="00377E69" w:rsidP="00E3533B">
            <w:pPr>
              <w:shd w:val="clear" w:color="auto" w:fill="FFFFFF"/>
              <w:spacing w:after="160"/>
              <w:jc w:val="center"/>
              <w:rPr>
                <w:rFonts w:ascii="Arial" w:hAnsi="Arial" w:cs="Arial"/>
                <w:sz w:val="24"/>
                <w:szCs w:val="24"/>
                <w:shd w:val="solid" w:color="FFFFFF" w:fill="FFFFFF"/>
              </w:rPr>
            </w:pPr>
            <w:r w:rsidRPr="009A19C5">
              <w:rPr>
                <w:rFonts w:ascii="Arial" w:hAnsi="Arial" w:cs="Arial"/>
                <w:sz w:val="24"/>
                <w:szCs w:val="24"/>
                <w:shd w:val="solid" w:color="FFFFFF" w:fill="FFFFFF"/>
              </w:rPr>
              <w:t>-0.6</w:t>
            </w:r>
          </w:p>
        </w:tc>
      </w:tr>
    </w:tbl>
    <w:p w:rsidR="00377E69" w:rsidRDefault="00377E69" w:rsidP="00377E69">
      <w:pPr>
        <w:shd w:val="clear" w:color="auto" w:fill="FFFFFF"/>
        <w:spacing w:line="360" w:lineRule="auto"/>
        <w:jc w:val="both"/>
        <w:rPr>
          <w:rFonts w:ascii="Arial" w:hAnsi="Arial" w:cs="Arial"/>
          <w:b/>
          <w:sz w:val="24"/>
          <w:szCs w:val="24"/>
          <w:shd w:val="solid" w:color="FFFFFF" w:fill="FFFFFF"/>
        </w:rPr>
      </w:pPr>
    </w:p>
    <w:p w:rsidR="00377E69" w:rsidRDefault="00377E69">
      <w:bookmarkStart w:id="0" w:name="_GoBack"/>
      <w:bookmarkEnd w:id="0"/>
    </w:p>
    <w:sectPr w:rsidR="00377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W3NDExMzEwMDAzszBR0lEKTi0uzszPAykwrAUAUxkVMCwAAAA="/>
  </w:docVars>
  <w:rsids>
    <w:rsidRoot w:val="00377E69"/>
    <w:rsid w:val="0037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2A060-6D1E-4097-AB0A-967FA6ED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E6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E6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Romanenko</dc:creator>
  <cp:keywords/>
  <dc:description/>
  <cp:lastModifiedBy>Sergii Romanenko</cp:lastModifiedBy>
  <cp:revision>1</cp:revision>
  <dcterms:created xsi:type="dcterms:W3CDTF">2017-11-22T03:21:00Z</dcterms:created>
  <dcterms:modified xsi:type="dcterms:W3CDTF">2017-11-22T03:22:00Z</dcterms:modified>
</cp:coreProperties>
</file>