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200"/>
        <w:jc w:val="center"/>
      </w:pPr>
      <w:r>
        <w:rPr>
          <w:b/>
          <w:bCs/>
          <w:color w:val="1F4E79"/>
          <w:sz w:val="44"/>
          <w:szCs w:val="44"/>
        </w:rPr>
        <w:t xml:space="preserve">Prehabilitación quirúrgica</w:t>
      </w:r>
    </w:p>
    <w:p>
      <w:pPr>
        <w:spacing w:after="480"/>
        <w:jc w:val="center"/>
      </w:pPr>
      <w:r>
        <w:rPr>
          <w:color w:val="404040"/>
          <w:sz w:val="26"/>
          <w:szCs w:val="26"/>
        </w:rPr>
        <w:t xml:space="preserve">Marco teórico, respuestas modelo y estándar de evaluación para la rotación del residente de Anestesiología</w:t>
      </w:r>
    </w:p>
    <w:p>
      <w:pPr>
        <w:pBdr>
          <w:top w:val="single" w:color="1F4E79" w:sz="8" w:space="8"/>
        </w:pBdr>
        <w:spacing w:after="120"/>
        <w:jc w:val="center"/>
      </w:pPr>
      <w:r>
        <w:rPr>
          <w:sz w:val="22"/>
          <w:szCs w:val="22"/>
        </w:rPr>
        <w:t xml:space="preserve">Servicio de Kinesiología – Área de Rehabilitación</w:t>
      </w:r>
    </w:p>
    <w:p>
      <w:pPr>
        <w:jc w:val="center"/>
      </w:pPr>
      <w:r>
        <w:rPr>
          <w:sz w:val="22"/>
          <w:szCs w:val="22"/>
        </w:rPr>
        <w:t xml:space="preserve">Documento docente · Noviembre 2026</w:t>
      </w:r>
    </w:p>
    <w:p>
      <w:pPr>
        <w:pStyle w:val="Heading1"/>
        <w:pageBreakBefore/>
      </w:pPr>
      <w:r>
        <w:t xml:space="preserve">Presentación</w:t>
      </w:r>
    </w:p>
    <w:p>
      <w:pPr>
        <w:spacing w:after="120" w:line="276"/>
        <w:jc w:val="both"/>
      </w:pPr>
      <w:r>
        <w:t xml:space="preserve">Este documento desarrolla en profundidad los ocho temas de la rotación de prehabilitación y define, para cada uno, el estándar de desempeño ideal que se espera del residente. Su finalidad es doble: (1) servir de material de estudio con referencias sólidas y verificadas, y (2) entregar al docente un patrón objetivo para evaluar las actividades prácticas y las respuestas a las preguntas de discusión.</w:t>
      </w:r>
    </w:p>
    <w:p>
      <w:pPr>
        <w:spacing w:after="120" w:line="276"/>
        <w:jc w:val="both"/>
      </w:pPr>
      <w:r>
        <w:t xml:space="preserve">Cada capítulo se organiza de la misma forma:</w:t>
      </w:r>
    </w:p>
    <w:p>
      <w:pPr>
        <w:pStyle w:val="ListParagraph"/>
        <w:numPr>
          <w:ilvl w:val="0"/>
          <w:numId w:val="2"/>
        </w:numPr>
        <w:spacing w:after="60" w:line="264"/>
      </w:pPr>
      <w:r>
        <w:t xml:space="preserve">Objetivo docente.</w:t>
      </w:r>
    </w:p>
    <w:p>
      <w:pPr>
        <w:pStyle w:val="ListParagraph"/>
        <w:numPr>
          <w:ilvl w:val="0"/>
          <w:numId w:val="2"/>
        </w:numPr>
        <w:spacing w:after="60" w:line="264"/>
      </w:pPr>
      <w:r>
        <w:t xml:space="preserve">Desarrollo del tema, con la evidencia que lo sustenta.</w:t>
      </w:r>
    </w:p>
    <w:p>
      <w:pPr>
        <w:pStyle w:val="ListParagraph"/>
        <w:numPr>
          <w:ilvl w:val="0"/>
          <w:numId w:val="2"/>
        </w:numPr>
        <w:spacing w:after="60" w:line="264"/>
      </w:pPr>
      <w:r>
        <w:t xml:space="preserve">Perla para el anestesiólogo.</w:t>
      </w:r>
    </w:p>
    <w:p>
      <w:pPr>
        <w:pStyle w:val="ListParagraph"/>
        <w:numPr>
          <w:ilvl w:val="0"/>
          <w:numId w:val="2"/>
        </w:numPr>
        <w:spacing w:after="60" w:line="264"/>
      </w:pPr>
      <w:r>
        <w:t xml:space="preserve">Actividad práctica en la rotación y desempeño esperado (lista de cotejo).</w:t>
      </w:r>
    </w:p>
    <w:p>
      <w:pPr>
        <w:pStyle w:val="ListParagraph"/>
        <w:numPr>
          <w:ilvl w:val="0"/>
          <w:numId w:val="2"/>
        </w:numPr>
        <w:spacing w:after="60" w:line="264"/>
      </w:pPr>
      <w:r>
        <w:t xml:space="preserve">Preguntas para la discusión, con una respuesta modelo, los elementos esenciales que debe contener la respuesta y los elementos que distinguen una respuesta excelente.</w:t>
      </w:r>
    </w:p>
    <w:p>
      <w:pPr>
        <w:spacing w:after="60"/>
      </w:pPr>
    </w:p>
    <w:p>
      <w:pPr>
        <w:spacing w:after="120" w:line="276"/>
        <w:jc w:val="both"/>
      </w:pPr>
      <w:r>
        <w:t xml:space="preserve">Las referencias se citan con números entre corchetes en el orden de aparición (estilo Vancouver) y se listan al final del documento con su DOI y su PMID. Todas fueron verificadas en PubMed. Los puntos de corte presentados son orientativos y deben interpretarse en el contexto clínico de cada paciente y según los protocolos locales.</w:t>
      </w:r>
    </w:p>
    <w:p>
      <w:pPr>
        <w:pStyle w:val="Heading2"/>
      </w:pPr>
      <w:r>
        <w:t xml:space="preserve">Cómo calificar las respuestas a las preguntas de discusión</w:t>
      </w:r>
    </w:p>
    <w:p>
      <w:pPr>
        <w:spacing w:after="120" w:line="276"/>
        <w:jc w:val="both"/>
      </w:pPr>
      <w:r>
        <w:t xml:space="preserve">Se sugiere usar la misma escala de 4 niveles de las pautas de la rotación, de modo que el resultado pueda alimentar los criterios «Dominio conceptual» de la pauta de seminarios y «Estratificación del riesgo» o «Planificación de la prehabilitación» de la pauta de evaluación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Nivel</w:t>
            </w:r>
          </w:p>
        </w:tc>
        <w:tc>
          <w:tcPr>
            <w:tcW w:type="dxa" w:w="7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Criterio</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4 · Excelente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Incluye todos los elementos esenciales, al menos un elemento complementario y fundamenta con evidencia (cita al menos un estudio o guía pertinente).</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3 · Bueno</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Incluye todos los elementos esenciales, con fundamentación parcial.</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2 · Suficiente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Incluye al menos la mitad de los elementos esenciales, sin errores conceptuales relevantes.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1 · Insuficiente</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Incluye menos de la mitad de los elementos esenciales o contiene errores conceptuales relevantes.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0 · No logrado</w:t>
            </w:r>
          </w:p>
        </w:tc>
        <w:tc>
          <w:tcPr>
            <w:tcW w:type="dxa" w:w="7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No responde o la respuesta es incorrecta.</w:t>
            </w:r>
          </w:p>
        </w:tc>
      </w:tr>
    </w:tbl>
    <w:p>
      <w:pPr>
        <w:pStyle w:val="Heading1"/>
        <w:pageBreakBefore/>
      </w:pPr>
      <w:r>
        <w:t xml:space="preserve">1. Concepto de prehabilitación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color="auto" w:val="clear"/>
            <w:tcMar>
              <w:top w:type="dxa" w:w="120"/>
              <w:left w:type="dxa" w:w="160"/>
              <w:bottom w:type="dxa" w:w="120"/>
              <w:right w:type="dxa" w:w="160"/>
            </w:tcMar>
          </w:tcPr>
          <w:p>
            <w:pPr>
              <w:spacing w:after="60"/>
            </w:pPr>
            <w:r>
              <w:rPr>
                <w:b/>
                <w:bCs/>
                <w:color w:val="1F4E79"/>
              </w:rPr>
              <w:t xml:space="preserve">Objetivo docente</w:t>
            </w:r>
          </w:p>
          <w:p>
            <w:pPr>
              <w:jc w:val="both"/>
            </w:pPr>
            <w:r>
              <w:t xml:space="preserve">Que el residente entienda la prehabilitación como una intervención multimodal que aumenta la reserva fisiológica antes de la cirugía, y la diferencie de ERAS y de la rehabilitación postoperatoria.</w:t>
            </w:r>
          </w:p>
        </w:tc>
      </w:tr>
    </w:tbl>
    <w:p>
      <w:pPr>
        <w:spacing w:after="60"/>
      </w:pPr>
    </w:p>
    <w:p>
      <w:pPr>
        <w:pStyle w:val="Heading2"/>
      </w:pPr>
      <w:r>
        <w:t xml:space="preserve">Desarrollo</w:t>
      </w:r>
    </w:p>
    <w:p>
      <w:pPr>
        <w:pStyle w:val="Heading3"/>
      </w:pPr>
      <w:r>
        <w:t xml:space="preserve">1.1 Definición</w:t>
      </w:r>
    </w:p>
    <w:p>
      <w:pPr>
        <w:spacing w:after="120" w:line="276"/>
        <w:jc w:val="both"/>
      </w:pPr>
      <w:r>
        <w:t xml:space="preserve">La prehabilitación se define como el proceso, dentro del continuo de la atención, que ocurre entre el diagnóstico y el inicio del tratamiento agudo (habitualmente la cirugía). Incluye una evaluación física y psicológica que establece el nivel funcional basal, identifica deterioros y entrega intervenciones dirigidas a mejorar la salud del paciente para reducir la incidencia y la gravedad de las complicaciones actuales y futuras</w:t>
      </w:r>
      <w:r>
        <w:rPr>
          <w:color w:val="1F4E79"/>
        </w:rPr>
        <w:t xml:space="preserve"> [1]</w:t>
      </w:r>
      <w:r>
        <w:t xml:space="preserve">. En el contexto quirúrgico, su propósito es que el paciente llegue a la cirugía con mayor reserva fisiológica, tolere mejor el estrés quirúrgico y recupere antes su nivel funcional</w:t>
      </w:r>
      <w:r>
        <w:rPr>
          <w:color w:val="1F4E79"/>
        </w:rPr>
        <w:t xml:space="preserve"> [2,3]</w:t>
      </w:r>
      <w:r>
        <w:t xml:space="preserve">.</w:t>
      </w:r>
    </w:p>
    <w:p>
      <w:pPr>
        <w:spacing w:after="120" w:line="276"/>
        <w:jc w:val="both"/>
      </w:pPr>
      <w:r>
        <w:t xml:space="preserve">Es importante diferenciar tres conceptos que el residente suele confundir: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500"/>
        <w:gridCol w:w="256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Concepto</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Momento</w:t>
            </w:r>
          </w:p>
        </w:tc>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Objetivo</w:t>
            </w:r>
          </w:p>
        </w:tc>
        <w:tc>
          <w:tcPr>
            <w:tcW w:type="dxa" w:w="2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Ejemplos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Prehabilitación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Desde el diagnóstico hasta la cirugía (semanas)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Aumentar la reserva funcional antes del estrés quirúrgico</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Ejercicio aeróbico y de fuerza, IMT, nutrición, apoyo psicológico, cesación tabáquica, corrección de la anemia</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ERAS (Enhanced Recovery After Surgery)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Pre, intra y postoperatorio inmediato (días)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Reducir la respuesta al estrés quirúrgico y acelerar la recuperación</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Ayuno abreviado, carga de carbohidratos, analgesia multimodal, fluidos orientados a objetivos, alimentación y movilización precoces</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Rehabilitación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Después de la cirugía (días a meses)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Recuperar la función perdida</w:t>
            </w:r>
          </w:p>
        </w:tc>
        <w:tc>
          <w:tcPr>
            <w:tcW w:type="dxa" w:w="2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Kinesiterapia respiratoria y motora, reacondicionamiento, rehabilitación ambulatoria</w:t>
            </w:r>
          </w:p>
        </w:tc>
      </w:tr>
    </w:tbl>
    <w:p>
      <w:pPr>
        <w:spacing w:after="60"/>
      </w:pPr>
    </w:p>
    <w:p>
      <w:pPr>
        <w:spacing w:after="120" w:line="276"/>
        <w:jc w:val="both"/>
      </w:pPr>
      <w:r>
        <w:t xml:space="preserve">ERAS optimiza el manejo perioperatorio y reduce la agresión; la prehabilitación prepara al paciente para recibirla. Ambas son complementarias: la recuperación no es un proceso pasivo y comienza antes de la cirugía</w:t>
      </w:r>
      <w:r>
        <w:rPr>
          <w:color w:val="1F4E79"/>
        </w:rPr>
        <w:t xml:space="preserve"> [3,4]</w:t>
      </w:r>
      <w:r>
        <w:t xml:space="preserve">.</w:t>
      </w:r>
    </w:p>
    <w:p>
      <w:pPr>
        <w:pStyle w:val="Heading3"/>
      </w:pPr>
      <w:r>
        <w:t xml:space="preserve">1.2 Modelo de trayectoria funcional</w:t>
      </w:r>
    </w:p>
    <w:p>
      <w:pPr>
        <w:spacing w:after="120" w:line="276"/>
        <w:jc w:val="both"/>
      </w:pPr>
      <w:r>
        <w:t xml:space="preserve">El modelo propuesto por Carli y Zavorsky describe la capacidad funcional del paciente en el tiempo: la cirugía produce una caída aguda de la capacidad funcional, cuya magnitud y duración dependen de la reserva previa. Un paciente que parte con mayor reserva cae menos, cruza con menor probabilidad el umbral por debajo del cual aparecen la dependencia y las complicaciones, y recupera antes su nivel basal</w:t>
      </w:r>
      <w:r>
        <w:rPr>
          <w:color w:val="1F4E79"/>
        </w:rPr>
        <w:t xml:space="preserve"> [2,5]</w:t>
      </w:r>
      <w:r>
        <w:t xml:space="preserve">. La prehabilitación busca desplazar hacia arriba el punto de partida de esa curva; ERAS y la rehabilitación buscan atenuar la caída y acelerar la recuperación.</w:t>
      </w:r>
    </w:p>
    <w:p>
      <w:pPr>
        <w:spacing w:after="120" w:line="276"/>
        <w:jc w:val="both"/>
      </w:pPr>
      <w:r>
        <w:t xml:space="preserve">Biológicamente, cualquier condición preoperatoria que impida tolerar el estrés quirúrgico (baja reserva cardiopulmonar, sarcopenia), que altere la respuesta al estrés (desnutrición, fragilidad) o que aumente la respuesta catabólica (resistencia a la insulina) es un factor de riesgo de malos resultados y un blanco de la prehabilitación</w:t>
      </w:r>
      <w:r>
        <w:rPr>
          <w:color w:val="1F4E79"/>
        </w:rPr>
        <w:t xml:space="preserve"> [3]</w:t>
      </w:r>
      <w:r>
        <w:t xml:space="preserve">.</w:t>
      </w:r>
    </w:p>
    <w:p>
      <w:pPr>
        <w:pStyle w:val="Heading3"/>
      </w:pPr>
      <w:r>
        <w:t xml:space="preserve">1.3 Componentes del programa multimodal</w:t>
      </w:r>
    </w:p>
    <w:p>
      <w:pPr>
        <w:pStyle w:val="ListParagraph"/>
        <w:numPr>
          <w:ilvl w:val="0"/>
          <w:numId w:val="2"/>
        </w:numPr>
        <w:spacing w:after="60" w:line="264"/>
      </w:pPr>
      <w:r>
        <w:t xml:space="preserve">Ejercicio: entrenamiento aeróbico (continuo o interválico) combinado con ejercicio de fuerza, con o sin entrenamiento muscular inspiratorio (IMT). Se desarrolla en los capítulos 3, 4 y 5.</w:t>
      </w:r>
    </w:p>
    <w:p>
      <w:pPr>
        <w:pStyle w:val="ListParagraph"/>
        <w:numPr>
          <w:ilvl w:val="0"/>
          <w:numId w:val="2"/>
        </w:numPr>
        <w:spacing w:after="60" w:line="264"/>
      </w:pPr>
      <w:r>
        <w:t xml:space="preserve">Nutrición: tamizaje de riesgo nutricional; aporte proteico de 1,2–1,5 g/kg/día en adultos mayores con enfermedad aguda o crónica</w:t>
      </w:r>
      <w:r>
        <w:rPr>
          <w:color w:val="1F4E79"/>
        </w:rPr>
        <w:t xml:space="preserve"> [6]</w:t>
      </w:r>
      <w:r>
        <w:t xml:space="preserve">; suplementos orales en pacientes en riesgo y terapia nutricional de 7–14 días antes de la cirugía mayor en pacientes con riesgo nutricional grave, aunque implique postergar la cirugía</w:t>
      </w:r>
      <w:r>
        <w:rPr>
          <w:color w:val="1F4E79"/>
        </w:rPr>
        <w:t xml:space="preserve"> [7]</w:t>
      </w:r>
      <w:r>
        <w:t xml:space="preserve">. La suplementación proteica potencia el efecto del ejercicio de fuerza.</w:t>
      </w:r>
    </w:p>
    <w:p>
      <w:pPr>
        <w:pStyle w:val="ListParagraph"/>
        <w:numPr>
          <w:ilvl w:val="0"/>
          <w:numId w:val="2"/>
        </w:numPr>
        <w:spacing w:after="60" w:line="264"/>
      </w:pPr>
      <w:r>
        <w:t xml:space="preserve">Apoyo psicológico: la ansiedad, la depresión y la baja autoeficacia se asocian a peor recuperación y menor adherencia; las intervenciones incluyen educación, técnicas de relajación y estrategias de afrontamiento</w:t>
      </w:r>
      <w:r>
        <w:rPr>
          <w:color w:val="1F4E79"/>
        </w:rPr>
        <w:t xml:space="preserve"> [8]</w:t>
      </w:r>
      <w:r>
        <w:t xml:space="preserve">.</w:t>
      </w:r>
    </w:p>
    <w:p>
      <w:pPr>
        <w:pStyle w:val="ListParagraph"/>
        <w:numPr>
          <w:ilvl w:val="0"/>
          <w:numId w:val="2"/>
        </w:numPr>
        <w:spacing w:after="60" w:line="264"/>
      </w:pPr>
      <w:r>
        <w:t xml:space="preserve">Cesación de tabaco: en ensayos clínicos, dejar de fumar reduce las complicaciones postoperatorias en un 41 %; cada semana de abstinencia aumenta el efecto en un 19 % y los programas de al menos 4 semanas tienen un efecto significativamente mayor</w:t>
      </w:r>
      <w:r>
        <w:rPr>
          <w:color w:val="1F4E79"/>
        </w:rPr>
        <w:t xml:space="preserve"> [9]</w:t>
      </w:r>
      <w:r>
        <w:t xml:space="preserve">.</w:t>
      </w:r>
    </w:p>
    <w:p>
      <w:pPr>
        <w:pStyle w:val="ListParagraph"/>
        <w:numPr>
          <w:ilvl w:val="0"/>
          <w:numId w:val="2"/>
        </w:numPr>
        <w:spacing w:after="60" w:line="264"/>
      </w:pPr>
      <w:r>
        <w:t xml:space="preserve">Cesación de alcohol: las intervenciones intensivas de cesación perioperatoria reducen las complicaciones postoperatorias (RR 0,62)</w:t>
      </w:r>
      <w:r>
        <w:rPr>
          <w:color w:val="1F4E79"/>
        </w:rPr>
        <w:t xml:space="preserve"> [10]</w:t>
      </w:r>
      <w:r>
        <w:t xml:space="preserve">.</w:t>
      </w:r>
    </w:p>
    <w:p>
      <w:pPr>
        <w:pStyle w:val="ListParagraph"/>
        <w:numPr>
          <w:ilvl w:val="0"/>
          <w:numId w:val="2"/>
        </w:numPr>
        <w:spacing w:after="60" w:line="264"/>
      </w:pPr>
      <w:r>
        <w:t xml:space="preserve">Optimización médica: diagnóstico y tratamiento de la anemia y de la deficiencia de hierro (Hb &lt; 13 g/dL en ambos sexos como umbral perioperatorio; hierro endovenoso cuando el tiempo es corto o el hierro oral no es tolerado)</w:t>
      </w:r>
      <w:r>
        <w:rPr>
          <w:color w:val="1F4E79"/>
        </w:rPr>
        <w:t xml:space="preserve"> [11]</w:t>
      </w:r>
      <w:r>
        <w:t xml:space="preserve">, control glicémico, optimización de la EPOC y de la insuficiencia cardiaca, y revisión de fármacos.</w:t>
      </w:r>
    </w:p>
    <w:p>
      <w:pPr>
        <w:spacing w:after="60"/>
      </w:pPr>
    </w:p>
    <w:p>
      <w:pPr>
        <w:pStyle w:val="Heading3"/>
      </w:pPr>
      <w:r>
        <w:t xml:space="preserve">1.4 Ventana de oportunidad</w:t>
      </w:r>
    </w:p>
    <w:p>
      <w:pPr>
        <w:spacing w:after="120" w:line="276"/>
        <w:jc w:val="both"/>
      </w:pPr>
      <w:r>
        <w:t xml:space="preserve">La mayoría de los programas duran entre 3 y 6 semanas. En el ensayo de Gillis y cols., una mediana de 24,5 días fue suficiente para que un 53 % de los pacientes prehabilitados mejorara al menos 20 m en el TM6M antes de la cirugía (frente a un 15 % del grupo control)</w:t>
      </w:r>
      <w:r>
        <w:rPr>
          <w:color w:val="1F4E79"/>
        </w:rPr>
        <w:t xml:space="preserve"> [12]</w:t>
      </w:r>
      <w:r>
        <w:t xml:space="preserve">. En cirugía oncológica se aprovecha el intervalo entre el diagnóstico y la cirugía o el período posterior a la neoadyuvancia: la quimiorradioterapia neoadyuvante reduce la capacidad física, y un programa de ejercicio estructurado después de ella la devuelve al nivel basal en unas 6 semanas</w:t>
      </w:r>
      <w:r>
        <w:rPr>
          <w:color w:val="1F4E79"/>
        </w:rPr>
        <w:t xml:space="preserve"> [13]</w:t>
      </w:r>
      <w:r>
        <w:t xml:space="preserve">.</w:t>
      </w:r>
    </w:p>
    <w:p>
      <w:pPr>
        <w:pStyle w:val="Heading3"/>
      </w:pPr>
      <w:r>
        <w:t xml:space="preserve">1.5 Evidencia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Estudio</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Población</w:t>
            </w:r>
          </w:p>
        </w:tc>
        <w:tc>
          <w:tcPr>
            <w:tcW w:type="dxa" w:w="4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Resultado principal</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Gillis 2014 (ECA)</w:t>
            </w:r>
            <w:r>
              <w:rPr>
                <w:color w:val="1F4E79"/>
                <w:sz w:val="18"/>
                <w:szCs w:val="18"/>
              </w:rPr>
              <w:t xml:space="preserve"> [12]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Cáncer colorrectal; prehabilitación vs. rehabilitación</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Mejor capacidad funcional antes y 8 semanas después de la cirugía; sin diferencias en complicaciones ni estadía.</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Barberan-Garcia 2018 (ECA)</w:t>
            </w:r>
            <w:r>
              <w:rPr>
                <w:color w:val="1F4E79"/>
                <w:sz w:val="18"/>
                <w:szCs w:val="18"/>
              </w:rPr>
              <w:t xml:space="preserve"> [14]</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Cirugía abdominal mayor, alto riesgo (&gt; 70 años y/o ASA III–IV)</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Programa personalizado con entrenamiento interválico de alta intensidad: aumentó la capacidad aeróbica y redujo en 51 % el número de pacientes con complicaciones (RR 0,5).</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Minnella 2018 (ECA)</w:t>
            </w:r>
            <w:r>
              <w:rPr>
                <w:color w:val="1F4E79"/>
                <w:sz w:val="18"/>
                <w:szCs w:val="18"/>
              </w:rPr>
              <w:t xml:space="preserve"> [15]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Cáncer esofagogástrico</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Ejercicio + nutrición mejoraron la capacidad funcional antes y después de la cirugía.</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Dunne 2016 (ECA)</w:t>
            </w:r>
            <w:r>
              <w:rPr>
                <w:color w:val="1F4E79"/>
                <w:sz w:val="18"/>
                <w:szCs w:val="18"/>
              </w:rPr>
              <w:t xml:space="preserve"> [16]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Resección hepática por metástasis colorrectales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4 semanas de ejercicio interválico mejoraron el VO2 en el umbral anaeróbico y la calidad de vida.</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Carli 2020 (ECA)</w:t>
            </w:r>
            <w:r>
              <w:rPr>
                <w:color w:val="1F4E79"/>
                <w:sz w:val="18"/>
                <w:szCs w:val="18"/>
              </w:rPr>
              <w:t xml:space="preserve"> [17]</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Pacientes frágiles, cáncer colorrectal (mayoritariamente laparoscópica, con ERAS)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Prehabilitación multimodal vs. rehabilitación postoperatoria: sin diferencias en complicaciones a 30 días.</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McIsaac 2022 (ECA)</w:t>
            </w:r>
            <w:r>
              <w:rPr>
                <w:color w:val="1F4E79"/>
                <w:sz w:val="18"/>
                <w:szCs w:val="18"/>
              </w:rPr>
              <w:t xml:space="preserve"> [18]</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Adultos mayores frágiles, cirugía oncológica; programa domiciliario</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Sin mejoría significativa de la recuperación; la adherencia aparece como mediador clave.</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Molenaar 2023, PREHAB (ECA)</w:t>
            </w:r>
            <w:r>
              <w:rPr>
                <w:color w:val="1F4E79"/>
                <w:sz w:val="18"/>
                <w:szCs w:val="18"/>
              </w:rPr>
              <w:t xml:space="preserve"> [19]</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Cáncer colorrectal; 4 semanas supervisadas en el hospital, alta intensidad</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Menos complicaciones graves (CCI &gt; 20: 17,1 % vs. 29,7 %) y menos complicaciones médicas (15,4 % vs. 27,3 %).</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Hughes 2019 (metaanálisis)</w:t>
            </w:r>
            <w:r>
              <w:rPr>
                <w:color w:val="1F4E79"/>
                <w:sz w:val="18"/>
                <w:szCs w:val="18"/>
              </w:rPr>
              <w:t xml:space="preserve"> [20]</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Cirugía abdominal mayor, 15 ECA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Menor morbilidad global (OR 0,63) y pulmonar (OR 0,40); sin diferencias en estadía.</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Lambert 2021 (metaanálisis)</w:t>
            </w:r>
            <w:r>
              <w:rPr>
                <w:color w:val="1F4E79"/>
                <w:sz w:val="18"/>
                <w:szCs w:val="18"/>
              </w:rPr>
              <w:t xml:space="preserve"> [21]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Cirugía hepatobiliar, colorrectal y gastrointestinal alta</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Estadía 1,78 días menor; sin diferencias en complicaciones ni mortalidad.</w:t>
            </w:r>
          </w:p>
        </w:tc>
      </w:tr>
      <w:tr>
        <w:trPr>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Gillis 2018 (metaanálisis)</w:t>
            </w:r>
            <w:r>
              <w:rPr>
                <w:color w:val="1F4E79"/>
                <w:sz w:val="18"/>
                <w:szCs w:val="18"/>
              </w:rPr>
              <w:t xml:space="preserve"> [22]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Cirugía colorrectal; prehabilitación nutricional ± ejercicio</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Estadía 2,2 días menor.</w:t>
            </w:r>
          </w:p>
        </w:tc>
      </w:tr>
    </w:tbl>
    <w:p>
      <w:pPr>
        <w:spacing w:after="60"/>
      </w:pPr>
    </w:p>
    <w:p>
      <w:pPr>
        <w:spacing w:after="120" w:line="276"/>
        <w:jc w:val="both"/>
      </w:pPr>
      <w:r>
        <w:t xml:space="preserve">La evidencia es consistente en mejorar la capacidad funcional y, en los programas supervisados, de alta intensidad y dirigidos a pacientes de alto riesgo, en reducir las complicaciones. Los resultados negativos (Carli 2020, McIsaac 2022) se explican principalmente por: (1) baja adherencia, sobre todo en programas domiciliarios no supervisados; (2) intensidad insuficiente del estímulo; (3) selección de pacientes (en población de bajo riesgo hay poco margen de mejoría, mientras que algunos pacientes muy frágiles no logran completar el programa); y (4) el contexto de un protocolo ERAS bien implementado y de cirugía mínimamente invasiva, que reduce la tasa basal de complicaciones</w:t>
      </w:r>
      <w:r>
        <w:rPr>
          <w:color w:val="1F4E79"/>
        </w:rPr>
        <w:t xml:space="preserve"> [17–19]</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20"/>
              <w:left w:type="dxa" w:w="160"/>
              <w:bottom w:type="dxa" w:w="120"/>
              <w:right w:type="dxa" w:w="160"/>
            </w:tcMar>
          </w:tcPr>
          <w:p>
            <w:pPr>
              <w:spacing w:after="60"/>
            </w:pPr>
            <w:r>
              <w:rPr>
                <w:b/>
                <w:bCs/>
                <w:color w:val="1F4E79"/>
              </w:rPr>
              <w:t xml:space="preserve">Perla para el anestesiólogo</w:t>
            </w:r>
          </w:p>
          <w:p>
            <w:pPr>
              <w:jc w:val="both"/>
            </w:pPr>
            <w:r>
              <w:t xml:space="preserve">La consulta preanestésica es el momento ideal para detectar al paciente de baja reserva y derivarlo a prehabilitación: el anestesiólogo puede ser quien active el programa. Para ello, la consulta debe realizarse con semanas de anticipación y no la víspera de la cirugía</w:t>
            </w:r>
            <w:r>
              <w:rPr>
                <w:color w:val="1F4E79"/>
              </w:rPr>
              <w:t xml:space="preserve"> [23,24]</w:t>
            </w:r>
            <w:r>
              <w:t xml:space="preserve">.</w:t>
            </w:r>
          </w:p>
        </w:tc>
      </w:tr>
    </w:tbl>
    <w:p>
      <w:pPr>
        <w:spacing w:after="60"/>
      </w:pPr>
    </w:p>
    <w:p>
      <w:pPr>
        <w:pStyle w:val="Heading2"/>
      </w:pPr>
      <w:r>
        <w:t xml:space="preserve">Actividad práctica en la rotación</w:t>
      </w:r>
    </w:p>
    <w:p>
      <w:pPr>
        <w:spacing w:after="120" w:line="276"/>
        <w:jc w:val="both"/>
      </w:pPr>
      <w:r>
        <w:t xml:space="preserve">Revisar con el kinesiólogo el flujo de derivación del servicio: quién deriva, con qué criterios y en qué plazos. Elaborar una lista de criterios de derivación.</w:t>
      </w:r>
    </w:p>
    <w:p>
      <w:pPr>
        <w:pStyle w:val="Heading3"/>
      </w:pPr>
      <w:r>
        <w:t xml:space="preserve">Desempeño esperado (estándar ideal)</w:t>
      </w:r>
    </w:p>
    <w:p>
      <w:pPr>
        <w:pStyle w:val="ListParagraph"/>
        <w:numPr>
          <w:ilvl w:val="0"/>
          <w:numId w:val="3"/>
        </w:numPr>
        <w:spacing w:after="60" w:line="264"/>
      </w:pPr>
      <w:r>
        <w:t xml:space="preserve">Describe el flujo actual (origen de la derivación, tiempos, registro) e identifica al menos un punto de mejora.</w:t>
      </w:r>
    </w:p>
    <w:p>
      <w:pPr>
        <w:pStyle w:val="ListParagraph"/>
        <w:numPr>
          <w:ilvl w:val="0"/>
          <w:numId w:val="3"/>
        </w:numPr>
        <w:spacing w:after="60" w:line="264"/>
      </w:pPr>
      <w:r>
        <w:t xml:space="preserve">Propone criterios de derivación objetivos y factibles, por ejemplo: cirugía mayor programada con ≥ 3 semanas de plazo y al menos uno de los siguientes: DASI ≤ 34 o &lt; 4 METs; TM6M bajo el valor predicho o &lt; 427 m; Clinical Frailty Scale ≥ 4; sarcopenia probable (prensión baja o sentarse-pararse 5 veces &gt; 15 s); ARISCAT intermedio o alto; desnutrición o pérdida de peso; anemia; tabaquismo activo.</w:t>
      </w:r>
    </w:p>
    <w:p>
      <w:pPr>
        <w:pStyle w:val="ListParagraph"/>
        <w:numPr>
          <w:ilvl w:val="0"/>
          <w:numId w:val="3"/>
        </w:numPr>
        <w:spacing w:after="60" w:line="264"/>
      </w:pPr>
      <w:r>
        <w:t xml:space="preserve">Define criterios de exclusión o de precaución (contraindicaciones al ejercicio, cirugía urgente).</w:t>
      </w:r>
    </w:p>
    <w:p>
      <w:pPr>
        <w:pStyle w:val="ListParagraph"/>
        <w:numPr>
          <w:ilvl w:val="0"/>
          <w:numId w:val="3"/>
        </w:numPr>
        <w:spacing w:after="60" w:line="264"/>
      </w:pPr>
      <w:r>
        <w:t xml:space="preserve">Considera niveles de intervención (universal, dirigida o especializada) según el riesgo</w:t>
      </w:r>
      <w:r>
        <w:rPr>
          <w:color w:val="1F4E79"/>
        </w:rPr>
        <w:t xml:space="preserve"> [25]</w:t>
      </w:r>
      <w:r>
        <w:t xml:space="preserve">.</w:t>
      </w:r>
    </w:p>
    <w:p>
      <w:pPr>
        <w:pStyle w:val="Heading2"/>
      </w:pPr>
      <w:r>
        <w:t xml:space="preserve">Preguntas para la discusión</w:t>
      </w:r>
    </w:p>
    <w:p>
      <w:pPr>
        <w:pStyle w:val="Heading3"/>
      </w:pPr>
      <w:r>
        <w:t xml:space="preserve">Pregunta 1. ¿Qué pacientes se benefician más de la prehabilitación y cuáles probablemente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color="auto" w:val="clear"/>
            <w:tcMar>
              <w:top w:type="dxa" w:w="120"/>
              <w:left w:type="dxa" w:w="160"/>
              <w:bottom w:type="dxa" w:w="120"/>
              <w:right w:type="dxa" w:w="160"/>
            </w:tcMar>
          </w:tcPr>
          <w:p>
            <w:pPr>
              <w:spacing w:after="60"/>
            </w:pPr>
            <w:r>
              <w:rPr>
                <w:b/>
                <w:bCs/>
                <w:color w:val="1F4E79"/>
              </w:rPr>
              <w:t xml:space="preserve">Respuesta modelo</w:t>
            </w:r>
          </w:p>
          <w:p>
            <w:pPr>
              <w:jc w:val="both"/>
            </w:pPr>
            <w:r>
              <w:t xml:space="preserve">Se benefician más los pacientes con baja reserva funcional que van a una cirugía mayor y disponen de una ventana de tiempo suficiente. Los pacientes con peor capacidad basal mejoran más con la prehabilitación (TM6M +46,5 m vs. +22,6 m en los más aptos) y recuperan con mayor frecuencia su nivel basal a las 4 semanas</w:t>
            </w:r>
            <w:r>
              <w:rPr>
                <w:color w:val="1F4E79"/>
              </w:rPr>
              <w:t xml:space="preserve"> [26]</w:t>
            </w:r>
            <w:r>
              <w:t xml:space="preserve">. El ensayo con resultados positivos más claros incluyó a pacientes de alto riesgo (&gt; 70 años y/o ASA III–IV) con un programa supervisado y personalizado</w:t>
            </w:r>
            <w:r>
              <w:rPr>
                <w:color w:val="1F4E79"/>
              </w:rPr>
              <w:t xml:space="preserve"> [14]</w:t>
            </w:r>
            <w:r>
              <w:t xml:space="preserve">. Probablemente se benefician poco: (a) los pacientes en buena condición física que van a cirugía menor, porque tienen poco margen de mejoría; (b) los que no tienen tiempo (cirugía urgente o muy próxima); y (c) los pacientes muy frágiles con programas domiciliarios de baja intensidad y baja adherencia, como sugieren los ensayos de Carli 2020 y McIsaac 2022</w:t>
            </w:r>
            <w:r>
              <w:rPr>
                <w:color w:val="1F4E79"/>
              </w:rPr>
              <w:t xml:space="preserve"> [17,18]</w:t>
            </w:r>
            <w:r>
              <w:t xml:space="preserve">. En estos últimos, más que descartar la prehabilitación, se debe reforzar la supervisión y el componente nutricional, y alinear las metas de cuidado.</w:t>
            </w:r>
          </w:p>
        </w:tc>
      </w:tr>
    </w:tbl>
    <w:p>
      <w:pPr>
        <w:spacing w:after="60"/>
      </w:pPr>
    </w:p>
    <w:p>
      <w:pPr>
        <w:spacing w:after="120" w:line="276"/>
        <w:jc w:val="left"/>
      </w:pPr>
      <w:r>
        <w:rPr>
          <w:b/>
          <w:bCs/>
        </w:rPr>
        <w:t xml:space="preserve">Elementos esenciales (para evaluar):</w:t>
      </w:r>
    </w:p>
    <w:p>
      <w:pPr>
        <w:pStyle w:val="ListParagraph"/>
        <w:numPr>
          <w:ilvl w:val="0"/>
          <w:numId w:val="3"/>
        </w:numPr>
        <w:spacing w:after="60" w:line="264"/>
      </w:pPr>
      <w:r>
        <w:t xml:space="preserve">Identifica la baja reserva funcional como el principal predictor de beneficio.</w:t>
      </w:r>
    </w:p>
    <w:p>
      <w:pPr>
        <w:pStyle w:val="ListParagraph"/>
        <w:numPr>
          <w:ilvl w:val="0"/>
          <w:numId w:val="3"/>
        </w:numPr>
        <w:spacing w:after="60" w:line="264"/>
      </w:pPr>
      <w:r>
        <w:t xml:space="preserve">Relaciona el beneficio con la magnitud de la cirugía y el tiempo disponible.</w:t>
      </w:r>
    </w:p>
    <w:p>
      <w:pPr>
        <w:pStyle w:val="ListParagraph"/>
        <w:numPr>
          <w:ilvl w:val="0"/>
          <w:numId w:val="3"/>
        </w:numPr>
        <w:spacing w:after="60" w:line="264"/>
      </w:pPr>
      <w:r>
        <w:t xml:space="preserve">Reconoce que la adherencia y la supervisión determinan la eficacia.</w:t>
      </w:r>
    </w:p>
    <w:p>
      <w:pPr>
        <w:pStyle w:val="ListParagraph"/>
        <w:numPr>
          <w:ilvl w:val="0"/>
          <w:numId w:val="3"/>
        </w:numPr>
        <w:spacing w:after="60" w:line="264"/>
      </w:pPr>
      <w:r>
        <w:t xml:space="preserve">Cita al menos un ensayo positivo y uno negativo e interpreta la diferencia.</w:t>
      </w:r>
    </w:p>
    <w:p>
      <w:pPr>
        <w:spacing w:after="120" w:line="276"/>
        <w:jc w:val="left"/>
      </w:pPr>
      <w:r>
        <w:rPr>
          <w:b/>
          <w:bCs/>
        </w:rPr>
        <w:t xml:space="preserve">Elementos que distinguen una respuesta excelente:</w:t>
      </w:r>
    </w:p>
    <w:p>
      <w:pPr>
        <w:pStyle w:val="ListParagraph"/>
        <w:numPr>
          <w:ilvl w:val="0"/>
          <w:numId w:val="3"/>
        </w:numPr>
        <w:spacing w:after="60" w:line="264"/>
      </w:pPr>
      <w:r>
        <w:t xml:space="preserve">Menciona niveles de intervención según riesgo.</w:t>
      </w:r>
    </w:p>
    <w:p>
      <w:pPr>
        <w:pStyle w:val="ListParagraph"/>
        <w:numPr>
          <w:ilvl w:val="0"/>
          <w:numId w:val="3"/>
        </w:numPr>
        <w:spacing w:after="60" w:line="264"/>
      </w:pPr>
      <w:r>
        <w:t xml:space="preserve">Discute el rol de ERAS y de la cirugía mínimamente invasiva en la reducción de la tasa basal de complicaciones.</w:t>
      </w:r>
    </w:p>
    <w:p>
      <w:pPr>
        <w:spacing w:after="60"/>
      </w:pPr>
    </w:p>
    <w:p>
      <w:pPr>
        <w:pStyle w:val="Heading3"/>
      </w:pPr>
      <w:r>
        <w:t xml:space="preserve">Pregunta 2. ¿Cuál es el tiempo mínimo útil de prehabilitación? ¿Se justifica postergar una cirugía oncológica para prehabilitar?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color="auto" w:val="clear"/>
            <w:tcMar>
              <w:top w:type="dxa" w:w="120"/>
              <w:left w:type="dxa" w:w="160"/>
              <w:bottom w:type="dxa" w:w="120"/>
              <w:right w:type="dxa" w:w="160"/>
            </w:tcMar>
          </w:tcPr>
          <w:p>
            <w:pPr>
              <w:spacing w:after="60"/>
            </w:pPr>
            <w:r>
              <w:rPr>
                <w:b/>
                <w:bCs/>
                <w:color w:val="1F4E79"/>
              </w:rPr>
              <w:t xml:space="preserve">Respuesta modelo</w:t>
            </w:r>
          </w:p>
          <w:p>
            <w:pPr>
              <w:jc w:val="both"/>
            </w:pPr>
            <w:r>
              <w:t xml:space="preserve">No existe un mínimo definido, pero la mayoría de los programas eficaces duran entre 3 y 6 semanas; con una mediana de 24,5 días ya se observan mejorías funcionales</w:t>
            </w:r>
            <w:r>
              <w:rPr>
                <w:color w:val="1F4E79"/>
              </w:rPr>
              <w:t xml:space="preserve"> [12]</w:t>
            </w:r>
            <w:r>
              <w:t xml:space="preserve">, y el entrenamiento interválico de alta intensidad logra cambios del VO2 en pocas semanas</w:t>
            </w:r>
            <w:r>
              <w:rPr>
                <w:color w:val="1F4E79"/>
              </w:rPr>
              <w:t xml:space="preserve"> [14,16]</w:t>
            </w:r>
            <w:r>
              <w:t xml:space="preserve">. La cesación tabáquica requiere al menos 4 semanas para su máximo efecto</w:t>
            </w:r>
            <w:r>
              <w:rPr>
                <w:color w:val="1F4E79"/>
              </w:rPr>
              <w:t xml:space="preserve"> [9]</w:t>
            </w:r>
            <w:r>
              <w:t xml:space="preserve">, y la corrección de la anemia ferropénica con hierro endovenoso necesita varias semanas</w:t>
            </w:r>
            <w:r>
              <w:rPr>
                <w:color w:val="1F4E79"/>
              </w:rPr>
              <w:t xml:space="preserve"> [11]</w:t>
            </w:r>
            <w:r>
              <w:t xml:space="preserve">. En cirugía oncológica, la regla general es no postergar la cirugía, sino aprovechar el intervalo habitual entre el diagnóstico y la cirugía o el período posterior a la neoadyuvancia</w:t>
            </w:r>
            <w:r>
              <w:rPr>
                <w:color w:val="1F4E79"/>
              </w:rPr>
              <w:t xml:space="preserve"> [13]</w:t>
            </w:r>
            <w:r>
              <w:t xml:space="preserve">. Una revisión sistemática muestra que las guías recomiendan intervalos que van desde 2 hasta 7 semanas y que no hay evidencia concluyente de que un intervalo más largo empeore el pronóstico, lo que abre la posibilidad de usar ese período para optimizar al paciente</w:t>
            </w:r>
            <w:r>
              <w:rPr>
                <w:color w:val="1F4E79"/>
              </w:rPr>
              <w:t xml:space="preserve"> [27]</w:t>
            </w:r>
            <w:r>
              <w:t xml:space="preserve">. La excepción es el paciente con riesgo nutricional grave, en quien las guías recomiendan 7–14 días de terapia nutricional aunque implique postergar la cirugía</w:t>
            </w:r>
            <w:r>
              <w:rPr>
                <w:color w:val="1F4E79"/>
              </w:rPr>
              <w:t xml:space="preserve"> [7]</w:t>
            </w:r>
            <w:r>
              <w:t xml:space="preserve">. La decisión siempre es del equipo multidisciplinario, junto al cirujano y al oncólogo.</w:t>
            </w:r>
          </w:p>
        </w:tc>
      </w:tr>
    </w:tbl>
    <w:p>
      <w:pPr>
        <w:spacing w:after="60"/>
      </w:pPr>
    </w:p>
    <w:p>
      <w:pPr>
        <w:spacing w:after="120" w:line="276"/>
        <w:jc w:val="left"/>
      </w:pPr>
      <w:r>
        <w:rPr>
          <w:b/>
          <w:bCs/>
        </w:rPr>
        <w:t xml:space="preserve">Elementos esenciales (para evaluar):</w:t>
      </w:r>
    </w:p>
    <w:p>
      <w:pPr>
        <w:pStyle w:val="ListParagraph"/>
        <w:numPr>
          <w:ilvl w:val="0"/>
          <w:numId w:val="3"/>
        </w:numPr>
        <w:spacing w:after="60" w:line="264"/>
      </w:pPr>
      <w:r>
        <w:t xml:space="preserve">Señala un rango realista (3–6 semanas) con fundamento.</w:t>
      </w:r>
    </w:p>
    <w:p>
      <w:pPr>
        <w:pStyle w:val="ListParagraph"/>
        <w:numPr>
          <w:ilvl w:val="0"/>
          <w:numId w:val="3"/>
        </w:numPr>
        <w:spacing w:after="60" w:line="264"/>
      </w:pPr>
      <w:r>
        <w:t xml:space="preserve">Afirma que, como regla, no se posterga la cirugía oncológica y se usa la ventana existente.</w:t>
      </w:r>
    </w:p>
    <w:p>
      <w:pPr>
        <w:pStyle w:val="ListParagraph"/>
        <w:numPr>
          <w:ilvl w:val="0"/>
          <w:numId w:val="3"/>
        </w:numPr>
        <w:spacing w:after="60" w:line="264"/>
      </w:pPr>
      <w:r>
        <w:t xml:space="preserve">Menciona la neoadyuvancia como oportunidad.</w:t>
      </w:r>
    </w:p>
    <w:p>
      <w:pPr>
        <w:pStyle w:val="ListParagraph"/>
        <w:numPr>
          <w:ilvl w:val="0"/>
          <w:numId w:val="3"/>
        </w:numPr>
        <w:spacing w:after="60" w:line="264"/>
      </w:pPr>
      <w:r>
        <w:t xml:space="preserve">Reconoce la decisión multidisciplinaria.</w:t>
      </w:r>
    </w:p>
    <w:p>
      <w:pPr>
        <w:spacing w:after="120" w:line="276"/>
        <w:jc w:val="left"/>
      </w:pPr>
      <w:r>
        <w:rPr>
          <w:b/>
          <w:bCs/>
        </w:rPr>
        <w:t xml:space="preserve">Elementos que distinguen una respuesta excelente:</w:t>
      </w:r>
    </w:p>
    <w:p>
      <w:pPr>
        <w:pStyle w:val="ListParagraph"/>
        <w:numPr>
          <w:ilvl w:val="0"/>
          <w:numId w:val="3"/>
        </w:numPr>
        <w:spacing w:after="60" w:line="264"/>
      </w:pPr>
      <w:r>
        <w:t xml:space="preserve">Identifica la excepción nutricional (7–14 días).</w:t>
      </w:r>
    </w:p>
    <w:p>
      <w:pPr>
        <w:pStyle w:val="ListParagraph"/>
        <w:numPr>
          <w:ilvl w:val="0"/>
          <w:numId w:val="3"/>
        </w:numPr>
        <w:spacing w:after="60" w:line="264"/>
      </w:pPr>
      <w:r>
        <w:t xml:space="preserve">Relaciona plazos con tabaco (≥ 4 semanas) y anemia.</w:t>
      </w:r>
    </w:p>
    <w:p>
      <w:pPr>
        <w:spacing w:after="60"/>
      </w:pPr>
    </w:p>
    <w:p>
      <w:pPr>
        <w:pStyle w:val="Heading1"/>
        <w:pageBreakBefore/>
      </w:pPr>
      <w:r>
        <w:t xml:space="preserve">2. Evaluación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color="auto" w:val="clear"/>
            <w:tcMar>
              <w:top w:type="dxa" w:w="120"/>
              <w:left w:type="dxa" w:w="160"/>
              <w:bottom w:type="dxa" w:w="120"/>
              <w:right w:type="dxa" w:w="160"/>
            </w:tcMar>
          </w:tcPr>
          <w:p>
            <w:pPr>
              <w:spacing w:after="60"/>
            </w:pPr>
            <w:r>
              <w:rPr>
                <w:b/>
                <w:bCs/>
                <w:color w:val="1F4E79"/>
              </w:rPr>
              <w:t xml:space="preserve">Objetivo docente</w:t>
            </w:r>
          </w:p>
          <w:p>
            <w:pPr>
              <w:jc w:val="both"/>
            </w:pPr>
            <w:r>
              <w:t xml:space="preserve">Que el residente pase de una valoración subjetiva («¿cómo se siente?») a una evaluación funcional objetiva, reproducible y útil para estimar el riesgo y prescribir ejercicio.</w:t>
            </w:r>
          </w:p>
        </w:tc>
      </w:tr>
    </w:tbl>
    <w:p>
      <w:pPr>
        <w:spacing w:after="60"/>
      </w:pPr>
    </w:p>
    <w:p>
      <w:pPr>
        <w:pStyle w:val="Heading2"/>
      </w:pPr>
      <w:r>
        <w:t xml:space="preserve">Desarrollo</w:t>
      </w:r>
    </w:p>
    <w:p>
      <w:pPr>
        <w:pStyle w:val="Heading3"/>
      </w:pPr>
      <w:r>
        <w:t xml:space="preserve">2.1 Limitaciones de la valoración subjetiva: el estudio METS</w:t>
      </w:r>
    </w:p>
    <w:p>
      <w:pPr>
        <w:spacing w:after="120" w:line="276"/>
        <w:jc w:val="both"/>
      </w:pPr>
      <w:r>
        <w:t xml:space="preserve">En el estudio prospectivo internacional METS (1401 pacientes de cirugía no cardiaca mayor), la estimación subjetiva de la capacidad funcional realizada por el anestesiólogo tuvo una sensibilidad de solo 19 % para detectar a los pacientes con una capacidad &lt; 4 METs medida por CPET. De las herramientas evaluadas, el DASI se asoció de forma independiente con muerte o infarto a 30 días</w:t>
      </w:r>
      <w:r>
        <w:rPr>
          <w:color w:val="1F4E79"/>
        </w:rPr>
        <w:t xml:space="preserve"> [28]</w:t>
      </w:r>
      <w:r>
        <w:t xml:space="preserve">. La conclusión práctica es que la pregunta «¿cómo se siente?» no basta: la capacidad funcional debe medirse con instrumentos estructurados.</w:t>
      </w:r>
    </w:p>
    <w:p>
      <w:pPr>
        <w:pStyle w:val="Heading3"/>
      </w:pPr>
      <w:r>
        <w:t xml:space="preserve">2.2 Equivalentes metabólicos (METs) y DASI</w:t>
      </w:r>
    </w:p>
    <w:p>
      <w:pPr>
        <w:spacing w:after="120" w:line="276"/>
        <w:jc w:val="both"/>
      </w:pPr>
      <w:r>
        <w:t xml:space="preserve">Un MET corresponde al consumo de oxígeno en reposo, aproximadamente 3,5 mL O2/kg/min</w:t>
      </w:r>
      <w:r>
        <w:rPr>
          <w:color w:val="1F4E79"/>
        </w:rPr>
        <w:t xml:space="preserve"> [29]</w:t>
      </w:r>
      <w:r>
        <w:t xml:space="preserve">. Una capacidad &lt; 4 METs (no poder subir dos pisos de escalera o caminar rápido en plano) se considera baja capacidad funcional en las guías de evaluación cardiovascular perioperatoria</w:t>
      </w:r>
      <w:r>
        <w:rPr>
          <w:color w:val="1F4E79"/>
        </w:rPr>
        <w:t xml:space="preserve"> [30,31]</w:t>
      </w:r>
      <w:r>
        <w:t xml:space="preserve">.</w:t>
      </w:r>
    </w:p>
    <w:p>
      <w:pPr>
        <w:spacing w:after="120" w:line="276"/>
        <w:jc w:val="both"/>
      </w:pPr>
      <w:r>
        <w:t xml:space="preserve">El Duke Activity Status Index (DASI) es un cuestionario autoaplicado de 12 preguntas sobre actividades cotidianas, con puntaje de 0 a 58,2. Permite estimar el VO2 pico mediante la fórmula VO2 (mL/kg/min) = 0,43 × DASI + 9,6</w:t>
      </w:r>
      <w:r>
        <w:rPr>
          <w:color w:val="1F4E79"/>
        </w:rPr>
        <w:t xml:space="preserve"> [32]</w:t>
      </w:r>
      <w:r>
        <w:t xml:space="preserve">. En el análisis secundario del estudio METS, un puntaje de 34 resultó ser el umbral bajo el cual aumenta el riesgo de muerte o infarto a 30 días y de complicaciones moderadas a graves, y sobre el cual el riesgo disminuye</w:t>
      </w:r>
      <w:r>
        <w:rPr>
          <w:color w:val="1F4E79"/>
        </w:rPr>
        <w:t xml:space="preserve"> [33]</w:t>
      </w:r>
      <w:r>
        <w:t xml:space="preserve">.</w:t>
      </w:r>
    </w:p>
    <w:p>
      <w:pPr>
        <w:pStyle w:val="Heading3"/>
      </w:pPr>
      <w:r>
        <w:t xml:space="preserve">2.3 Prueba de caminata de 6 minutos (TM6M)</w:t>
      </w:r>
    </w:p>
    <w:p>
      <w:pPr>
        <w:spacing w:after="120" w:line="276"/>
        <w:jc w:val="both"/>
      </w:pPr>
      <w:r>
        <w:t xml:space="preserve">Procedimiento estandarizado según la ATS</w:t>
      </w:r>
      <w:r>
        <w:rPr>
          <w:color w:val="1F4E79"/>
        </w:rPr>
        <w:t xml:space="preserve"> [34]</w:t>
      </w:r>
      <w:r>
        <w:t xml:space="preserve"> y el estándar técnico ERS/ATS</w:t>
      </w:r>
      <w:r>
        <w:rPr>
          <w:color w:val="1F4E79"/>
        </w:rPr>
        <w:t xml:space="preserve"> [35]</w:t>
      </w:r>
      <w:r>
        <w:t xml:space="preserve">:</w:t>
      </w:r>
    </w:p>
    <w:p>
      <w:pPr>
        <w:pStyle w:val="ListParagraph"/>
        <w:numPr>
          <w:ilvl w:val="0"/>
          <w:numId w:val="2"/>
        </w:numPr>
        <w:spacing w:after="60" w:line="264"/>
      </w:pPr>
      <w:r>
        <w:t xml:space="preserve">Pasillo plano de 30 m señalizado cada 3 m, con conos en los extremos; el paciente camina lo más rápido posible, sin correr, durante 6 minutos.</w:t>
      </w:r>
    </w:p>
    <w:p>
      <w:pPr>
        <w:pStyle w:val="ListParagraph"/>
        <w:numPr>
          <w:ilvl w:val="0"/>
          <w:numId w:val="2"/>
        </w:numPr>
        <w:spacing w:after="60" w:line="264"/>
      </w:pPr>
      <w:r>
        <w:t xml:space="preserve">Frases de estímulo estandarizadas cada minuto; no caminar junto al paciente.</w:t>
      </w:r>
    </w:p>
    <w:p>
      <w:pPr>
        <w:pStyle w:val="ListParagraph"/>
        <w:numPr>
          <w:ilvl w:val="0"/>
          <w:numId w:val="2"/>
        </w:numPr>
        <w:spacing w:after="60" w:line="264"/>
      </w:pPr>
      <w:r>
        <w:t xml:space="preserve">Registrar en reposo y al final: SpO2, frecuencia cardiaca, presión arterial, disnea y fatiga de extremidades inferiores (escala de Borg modificada). Registrar SpO2 mínima, detenciones y uso de oxígeno.</w:t>
      </w:r>
    </w:p>
    <w:p>
      <w:pPr>
        <w:pStyle w:val="ListParagraph"/>
        <w:numPr>
          <w:ilvl w:val="0"/>
          <w:numId w:val="2"/>
        </w:numPr>
        <w:spacing w:after="60" w:line="264"/>
      </w:pPr>
      <w:r>
        <w:t xml:space="preserve">Se recomiendan dos pruebas por el efecto aprendizaje y registrar la mejor</w:t>
      </w:r>
      <w:r>
        <w:rPr>
          <w:color w:val="1F4E79"/>
        </w:rPr>
        <w:t xml:space="preserve"> [35]</w:t>
      </w:r>
      <w:r>
        <w:t xml:space="preserve">.</w:t>
      </w:r>
    </w:p>
    <w:p>
      <w:pPr>
        <w:pStyle w:val="ListParagraph"/>
        <w:numPr>
          <w:ilvl w:val="0"/>
          <w:numId w:val="2"/>
        </w:numPr>
        <w:spacing w:after="60" w:line="264"/>
      </w:pPr>
      <w:r>
        <w:t xml:space="preserve">Contraindicaciones absolutas: angina inestable o infarto en el último mes. Relativas: FC de reposo &gt; 120 lpm, PAS &gt; 180 mmHg o PAD &gt; 100 mmHg</w:t>
      </w:r>
      <w:r>
        <w:rPr>
          <w:color w:val="1F4E79"/>
        </w:rPr>
        <w:t xml:space="preserve"> [34]</w:t>
      </w:r>
      <w:r>
        <w:t xml:space="preserve">.</w:t>
      </w:r>
    </w:p>
    <w:p>
      <w:pPr>
        <w:pStyle w:val="ListParagraph"/>
        <w:numPr>
          <w:ilvl w:val="0"/>
          <w:numId w:val="2"/>
        </w:numPr>
        <w:spacing w:after="60" w:line="264"/>
      </w:pPr>
      <w:r>
        <w:t xml:space="preserve">Detener ante dolor torácico, disnea intolerable, calambres, marcha inestable, diaforesis o palidez</w:t>
      </w:r>
      <w:r>
        <w:rPr>
          <w:color w:val="1F4E79"/>
        </w:rPr>
        <w:t xml:space="preserve"> [34]</w:t>
      </w:r>
      <w:r>
        <w:t xml:space="preserve">.</w:t>
      </w:r>
    </w:p>
    <w:p>
      <w:pPr>
        <w:spacing w:after="60"/>
      </w:pPr>
    </w:p>
    <w:p>
      <w:pPr>
        <w:spacing w:after="120" w:line="276"/>
        <w:jc w:val="both"/>
      </w:pPr>
      <w:r>
        <w:t xml:space="preserve">Interpretación: comparar con el valor predicho. En sujetos chilenos sanos de 20 a 80 años la distancia media fue de 576 ± 87 m en mujeres y 644 ± 84 m en hombres; Osses y cols. publicaron ecuaciones de referencia por sexo según edad, talla y peso</w:t>
      </w:r>
      <w:r>
        <w:rPr>
          <w:color w:val="1F4E79"/>
        </w:rPr>
        <w:t xml:space="preserve"> [36]</w:t>
      </w:r>
      <w:r>
        <w:t xml:space="preserve">. Una alternativa son las ecuaciones de Enright y Sherrill: hombres = (7,57 × talla cm) − (5,02 × edad) − (1,76 × peso kg) − 309 m; mujeres = (2,11 × talla cm) − (2,29 × peso kg) − (5,78 × edad) + 667 m</w:t>
      </w:r>
      <w:r>
        <w:rPr>
          <w:color w:val="1F4E79"/>
        </w:rPr>
        <w:t xml:space="preserve"> [37]</w:t>
      </w:r>
      <w:r>
        <w:t xml:space="preserve">. La diferencia mínima clínicamente importante en enfermedad respiratoria crónica es de alrededor de 25–33 m</w:t>
      </w:r>
      <w:r>
        <w:rPr>
          <w:color w:val="1F4E79"/>
        </w:rPr>
        <w:t xml:space="preserve"> [35]</w:t>
      </w:r>
      <w:r>
        <w:t xml:space="preserve">, útil para juzgar el efecto de la prehabilitación.</w:t>
      </w:r>
    </w:p>
    <w:p>
      <w:pPr>
        <w:spacing w:after="120" w:line="276"/>
        <w:jc w:val="both"/>
      </w:pPr>
      <w:r>
        <w:t xml:space="preserve">Relación con el riesgo: en pacientes de cirugía mayor no cardiaca, el TM6M predijo un umbral anaeróbico &lt; 11 mL/kg/min con un área bajo la curva de 0,85. Los autores propusieron que quienes caminan &gt; 563 m no requieren CPET de rutina, mientras que quienes caminan &lt; 427 m deberían ser derivados a una evaluación adicional</w:t>
      </w:r>
      <w:r>
        <w:rPr>
          <w:color w:val="1F4E79"/>
        </w:rPr>
        <w:t xml:space="preserve"> [38]</w:t>
      </w:r>
      <w:r>
        <w:t xml:space="preserve">.</w:t>
      </w:r>
    </w:p>
    <w:p>
      <w:pPr>
        <w:pStyle w:val="Heading3"/>
      </w:pPr>
      <w:r>
        <w:t xml:space="preserve">2.4 Fuerza y desempeño físico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Prueba</w:t>
            </w:r>
          </w:p>
        </w:tc>
        <w:tc>
          <w:tcPr>
            <w:tcW w:type="dxa" w:w="3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Procedimiento resumido</w:t>
            </w:r>
          </w:p>
        </w:tc>
        <w:tc>
          <w:tcPr>
            <w:tcW w:type="dxa" w:w="32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Valor de alerta</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Dinamometría de prensión</w:t>
            </w:r>
            <w:r>
              <w:rPr>
                <w:color w:val="1F4E79"/>
                <w:sz w:val="18"/>
                <w:szCs w:val="18"/>
              </w:rPr>
              <w:t xml:space="preserve"> [39]</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Sentado, codo en 90°, 3 intentos con cada mano, registrar el valor máximo (protocolo de Southampton)</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&lt; 27 kg en hombres; &lt; 16 kg en mujeres</w:t>
            </w:r>
            <w:r>
              <w:rPr>
                <w:color w:val="1F4E79"/>
                <w:sz w:val="18"/>
                <w:szCs w:val="18"/>
              </w:rPr>
              <w:t xml:space="preserve"> [40]</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Sentarse y pararse 5 veces</w:t>
            </w:r>
            <w:r>
              <w:rPr>
                <w:color w:val="1F4E79"/>
                <w:sz w:val="18"/>
                <w:szCs w:val="18"/>
              </w:rPr>
              <w:t xml:space="preserve"> [40]</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Silla sin apoyabrazos, brazos cruzados, lo más rápido posible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&gt; 15 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Sentarse y pararse en 30 s</w:t>
            </w:r>
            <w:r>
              <w:rPr>
                <w:color w:val="1F4E79"/>
                <w:sz w:val="18"/>
                <w:szCs w:val="18"/>
              </w:rPr>
              <w:t xml:space="preserve"> [41]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Número de repeticiones completas en 30 s</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Comparar con valores normativos por edad y sexo</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SPPB</w:t>
            </w:r>
            <w:r>
              <w:rPr>
                <w:color w:val="1F4E79"/>
                <w:sz w:val="18"/>
                <w:szCs w:val="18"/>
              </w:rPr>
              <w:t xml:space="preserve"> [42]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Equilibrio, velocidad de marcha en 4 m y 5 repeticiones de sentarse-pararse; puntaje 0–12</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 8 puntos</w:t>
            </w:r>
            <w:r>
              <w:rPr>
                <w:color w:val="1F4E79"/>
                <w:sz w:val="18"/>
                <w:szCs w:val="18"/>
              </w:rPr>
              <w:t xml:space="preserve"> [40]</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Velocidad de marcha</w:t>
            </w:r>
            <w:r>
              <w:rPr>
                <w:color w:val="1F4E79"/>
                <w:sz w:val="18"/>
                <w:szCs w:val="18"/>
              </w:rPr>
              <w:t xml:space="preserve"> [43]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Velocidad habitual en 4 m</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 0,8 m/s</w:t>
            </w:r>
            <w:r>
              <w:rPr>
                <w:color w:val="1F4E79"/>
                <w:sz w:val="18"/>
                <w:szCs w:val="18"/>
              </w:rPr>
              <w:t xml:space="preserve"> [40]</w:t>
            </w:r>
            <w:r>
              <w:rPr>
                <w:sz w:val="18"/>
                <w:szCs w:val="18"/>
              </w:rPr>
              <w:t xml:space="preserve">; cada 0,1 m/s adicional se asocia a mayor sobrevida</w:t>
            </w:r>
            <w:r>
              <w:rPr>
                <w:color w:val="1F4E79"/>
                <w:sz w:val="18"/>
                <w:szCs w:val="18"/>
              </w:rPr>
              <w:t xml:space="preserve"> [43]</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Timed Up and Go</w:t>
            </w:r>
            <w:r>
              <w:rPr>
                <w:color w:val="1F4E79"/>
                <w:sz w:val="18"/>
                <w:szCs w:val="18"/>
              </w:rPr>
              <w:t xml:space="preserve"> [44]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Levantarse, caminar 3 m, girar, volver y sentarse</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 20 s</w:t>
            </w:r>
            <w:r>
              <w:rPr>
                <w:color w:val="1F4E79"/>
                <w:sz w:val="18"/>
                <w:szCs w:val="18"/>
              </w:rPr>
              <w:t xml:space="preserve"> [40]</w:t>
            </w:r>
          </w:p>
        </w:tc>
      </w:tr>
    </w:tbl>
    <w:p>
      <w:pPr>
        <w:spacing w:after="60"/>
      </w:pPr>
    </w:p>
    <w:p>
      <w:pPr>
        <w:pStyle w:val="Heading3"/>
      </w:pPr>
      <w:r>
        <w:t xml:space="preserve">2.5 Fuerza muscular respiratoria</w:t>
      </w:r>
    </w:p>
    <w:p>
      <w:pPr>
        <w:spacing w:after="120" w:line="276"/>
        <w:jc w:val="both"/>
      </w:pPr>
      <w:r>
        <w:t xml:space="preserve">La presión inspiratoria máxima (PImax) y la presión espiratoria máxima (PEmax) se miden en la boca con un manómetro, con maniobras desde volumen residual (PImax) y desde capacidad pulmonar total (PEmax), según las recomendaciones ATS/ERS y ERS</w:t>
      </w:r>
      <w:r>
        <w:rPr>
          <w:color w:val="1F4E79"/>
        </w:rPr>
        <w:t xml:space="preserve"> [45,46]</w:t>
      </w:r>
      <w:r>
        <w:t xml:space="preserve">. Se comparan con valores predichos por edad y sexo. La PImax sirve para identificar debilidad inspiratoria y para dosificar la carga del IMT (capítulo 5).</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20"/>
              <w:left w:type="dxa" w:w="160"/>
              <w:bottom w:type="dxa" w:w="120"/>
              <w:right w:type="dxa" w:w="160"/>
            </w:tcMar>
          </w:tcPr>
          <w:p>
            <w:pPr>
              <w:spacing w:after="60"/>
            </w:pPr>
            <w:r>
              <w:rPr>
                <w:b/>
                <w:bCs/>
                <w:color w:val="1F4E79"/>
              </w:rPr>
              <w:t xml:space="preserve">Perla para el anestesiólogo</w:t>
            </w:r>
          </w:p>
          <w:p>
            <w:pPr>
              <w:jc w:val="both"/>
            </w:pPr>
            <w:r>
              <w:t xml:space="preserve">Una buena evaluación funcional cumple dos funciones: estratificar el riesgo y servir como línea base para prescribir y medir el efecto de la prehabilitación. Siempre se debe repetir la misma prueba, con el mismo protocolo, al final del programa.</w:t>
            </w:r>
          </w:p>
        </w:tc>
      </w:tr>
    </w:tbl>
    <w:p>
      <w:pPr>
        <w:spacing w:after="60"/>
      </w:pPr>
    </w:p>
    <w:p>
      <w:pPr>
        <w:pStyle w:val="Heading2"/>
      </w:pPr>
      <w:r>
        <w:t xml:space="preserve">Actividad práctica en la rotación</w:t>
      </w:r>
    </w:p>
    <w:p>
      <w:pPr>
        <w:spacing w:after="120" w:line="276"/>
        <w:jc w:val="both"/>
      </w:pPr>
      <w:r>
        <w:t xml:space="preserve">Aplicar con supervisión DASI, TM6M, dinamometría y SPPB a un mínimo de 5 pacientes por semana y registrarlos en la ficha de evaluación funcional.</w:t>
      </w:r>
    </w:p>
    <w:p>
      <w:pPr>
        <w:pStyle w:val="Heading3"/>
      </w:pPr>
      <w:r>
        <w:t xml:space="preserve">Desempeño esperado (estándar ideal)</w:t>
      </w:r>
    </w:p>
    <w:p>
      <w:pPr>
        <w:pStyle w:val="ListParagraph"/>
        <w:numPr>
          <w:ilvl w:val="0"/>
          <w:numId w:val="3"/>
        </w:numPr>
        <w:spacing w:after="60" w:line="264"/>
      </w:pPr>
      <w:r>
        <w:t xml:space="preserve">Verifica contraindicaciones antes del TM6M y aplica el protocolo estandarizado sin desviaciones (frases de estímulo, registro de signos vitales y Borg).</w:t>
      </w:r>
    </w:p>
    <w:p>
      <w:pPr>
        <w:pStyle w:val="ListParagraph"/>
        <w:numPr>
          <w:ilvl w:val="0"/>
          <w:numId w:val="3"/>
        </w:numPr>
        <w:spacing w:after="60" w:line="264"/>
      </w:pPr>
      <w:r>
        <w:t xml:space="preserve">Calcula el valor predicho del TM6M y lo expresa como porcentaje.</w:t>
      </w:r>
    </w:p>
    <w:p>
      <w:pPr>
        <w:pStyle w:val="ListParagraph"/>
        <w:numPr>
          <w:ilvl w:val="0"/>
          <w:numId w:val="3"/>
        </w:numPr>
        <w:spacing w:after="60" w:line="264"/>
      </w:pPr>
      <w:r>
        <w:t xml:space="preserve">Calcula el VO2 estimado a partir del DASI y lo interpreta (umbral de 34).</w:t>
      </w:r>
    </w:p>
    <w:p>
      <w:pPr>
        <w:pStyle w:val="ListParagraph"/>
        <w:numPr>
          <w:ilvl w:val="0"/>
          <w:numId w:val="3"/>
        </w:numPr>
        <w:spacing w:after="60" w:line="264"/>
      </w:pPr>
      <w:r>
        <w:t xml:space="preserve">Aplica la dinamometría y el SPPB con técnica correcta y los interpreta según EWGSOP2.</w:t>
      </w:r>
    </w:p>
    <w:p>
      <w:pPr>
        <w:pStyle w:val="ListParagraph"/>
        <w:numPr>
          <w:ilvl w:val="0"/>
          <w:numId w:val="3"/>
        </w:numPr>
        <w:spacing w:after="60" w:line="264"/>
      </w:pPr>
      <w:r>
        <w:t xml:space="preserve">Integra los resultados en una síntesis funcional y en una decisión (por ejemplo, derivar a CPET o a prehabilitación).</w:t>
      </w:r>
    </w:p>
    <w:p>
      <w:pPr>
        <w:pStyle w:val="ListParagraph"/>
        <w:numPr>
          <w:ilvl w:val="0"/>
          <w:numId w:val="3"/>
        </w:numPr>
        <w:spacing w:after="60" w:line="264"/>
      </w:pPr>
      <w:r>
        <w:t xml:space="preserve">Registra en forma completa y comprensible para el equipo.</w:t>
      </w:r>
    </w:p>
    <w:p>
      <w:pPr>
        <w:pStyle w:val="Heading2"/>
      </w:pPr>
      <w:r>
        <w:t xml:space="preserve">Preguntas para la discusión</w:t>
      </w:r>
    </w:p>
    <w:p>
      <w:pPr>
        <w:pStyle w:val="Heading3"/>
      </w:pPr>
      <w:r>
        <w:t xml:space="preserve">Pregunta 1. ¿Qué aporta el TM6M que no aporta la pregunta «¿puede subir dos pisos?»?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color="auto" w:val="clear"/>
            <w:tcMar>
              <w:top w:type="dxa" w:w="120"/>
              <w:left w:type="dxa" w:w="160"/>
              <w:bottom w:type="dxa" w:w="120"/>
              <w:right w:type="dxa" w:w="160"/>
            </w:tcMar>
          </w:tcPr>
          <w:p>
            <w:pPr>
              <w:spacing w:after="60"/>
            </w:pPr>
            <w:r>
              <w:rPr>
                <w:b/>
                <w:bCs/>
                <w:color w:val="1F4E79"/>
              </w:rPr>
              <w:t xml:space="preserve">Respuesta modelo</w:t>
            </w:r>
          </w:p>
          <w:p>
            <w:pPr>
              <w:jc w:val="both"/>
            </w:pPr>
            <w:r>
              <w:t xml:space="preserve">La pregunta autorreportada es subjetiva, depende de la percepción y del recuerdo del paciente y de la interpretación del evaluador; el estudio METS mostró que la estimación subjetiva identifica solo al 19 % de los pacientes con baja capacidad funcional</w:t>
            </w:r>
            <w:r>
              <w:rPr>
                <w:color w:val="1F4E79"/>
              </w:rPr>
              <w:t xml:space="preserve"> [28]</w:t>
            </w:r>
            <w:r>
              <w:t xml:space="preserve">. El TM6M, en cambio, entrega una medición objetiva, cuantitativa y estandarizada</w:t>
            </w:r>
            <w:r>
              <w:rPr>
                <w:color w:val="1F4E79"/>
              </w:rPr>
              <w:t xml:space="preserve"> [34]</w:t>
            </w:r>
            <w:r>
              <w:t xml:space="preserve">: (1) permite compararla con valores de referencia, incluso chilenos</w:t>
            </w:r>
            <w:r>
              <w:rPr>
                <w:color w:val="1F4E79"/>
              </w:rPr>
              <w:t xml:space="preserve"> [36]</w:t>
            </w:r>
            <w:r>
              <w:t xml:space="preserve">; (2) registra la respuesta fisiológica al esfuerzo (desaturación, respuesta de la FC, disnea), lo que puede revelar una limitación no referida; (3) se relaciona con el umbral anaeróbico y permite decidir quién necesita CPET</w:t>
            </w:r>
            <w:r>
              <w:rPr>
                <w:color w:val="1F4E79"/>
              </w:rPr>
              <w:t xml:space="preserve"> [38]</w:t>
            </w:r>
            <w:r>
              <w:t xml:space="preserve">; y (4) es reproducible, por lo que sirve como línea base para prescribir y para medir el efecto de la prehabilitación según la diferencia mínima clínicamente importante</w:t>
            </w:r>
            <w:r>
              <w:rPr>
                <w:color w:val="1F4E79"/>
              </w:rPr>
              <w:t xml:space="preserve"> [35]</w:t>
            </w:r>
            <w:r>
              <w:t xml:space="preserve">. Su limitación es que no discrimina la causa de la limitación (cardiaca, pulmonar, muscular), lo que sí hace la CPET.</w:t>
            </w:r>
          </w:p>
        </w:tc>
      </w:tr>
    </w:tbl>
    <w:p>
      <w:pPr>
        <w:spacing w:after="60"/>
      </w:pPr>
    </w:p>
    <w:p>
      <w:pPr>
        <w:spacing w:after="120" w:line="276"/>
        <w:jc w:val="left"/>
      </w:pPr>
      <w:r>
        <w:rPr>
          <w:b/>
          <w:bCs/>
        </w:rPr>
        <w:t xml:space="preserve">Elementos esenciales (para evaluar):</w:t>
      </w:r>
    </w:p>
    <w:p>
      <w:pPr>
        <w:pStyle w:val="ListParagraph"/>
        <w:numPr>
          <w:ilvl w:val="0"/>
          <w:numId w:val="3"/>
        </w:numPr>
        <w:spacing w:after="60" w:line="264"/>
      </w:pPr>
      <w:r>
        <w:t xml:space="preserve">Contrasta medición subjetiva vs. objetiva y cita la evidencia (METS).</w:t>
      </w:r>
    </w:p>
    <w:p>
      <w:pPr>
        <w:pStyle w:val="ListParagraph"/>
        <w:numPr>
          <w:ilvl w:val="0"/>
          <w:numId w:val="3"/>
        </w:numPr>
        <w:spacing w:after="60" w:line="264"/>
      </w:pPr>
      <w:r>
        <w:t xml:space="preserve">Menciona la comparación con valores predichos.</w:t>
      </w:r>
    </w:p>
    <w:p>
      <w:pPr>
        <w:pStyle w:val="ListParagraph"/>
        <w:numPr>
          <w:ilvl w:val="0"/>
          <w:numId w:val="3"/>
        </w:numPr>
        <w:spacing w:after="60" w:line="264"/>
      </w:pPr>
      <w:r>
        <w:t xml:space="preserve">Menciona la utilidad como línea base y para medir cambios.</w:t>
      </w:r>
    </w:p>
    <w:p>
      <w:pPr>
        <w:pStyle w:val="ListParagraph"/>
        <w:numPr>
          <w:ilvl w:val="0"/>
          <w:numId w:val="3"/>
        </w:numPr>
        <w:spacing w:after="60" w:line="264"/>
      </w:pPr>
      <w:r>
        <w:t xml:space="preserve">Reconoce al menos una limitación del TM6M.</w:t>
      </w:r>
    </w:p>
    <w:p>
      <w:pPr>
        <w:spacing w:after="120" w:line="276"/>
        <w:jc w:val="left"/>
      </w:pPr>
      <w:r>
        <w:rPr>
          <w:b/>
          <w:bCs/>
        </w:rPr>
        <w:t xml:space="preserve">Elementos que distinguen una respuesta excelente:</w:t>
      </w:r>
    </w:p>
    <w:p>
      <w:pPr>
        <w:pStyle w:val="ListParagraph"/>
        <w:numPr>
          <w:ilvl w:val="0"/>
          <w:numId w:val="3"/>
        </w:numPr>
        <w:spacing w:after="60" w:line="264"/>
      </w:pPr>
      <w:r>
        <w:t xml:space="preserve">Menciona la desaturación al esfuerzo.</w:t>
      </w:r>
    </w:p>
    <w:p>
      <w:pPr>
        <w:pStyle w:val="ListParagraph"/>
        <w:numPr>
          <w:ilvl w:val="0"/>
          <w:numId w:val="3"/>
        </w:numPr>
        <w:spacing w:after="60" w:line="264"/>
      </w:pPr>
      <w:r>
        <w:t xml:space="preserve">Relaciona el TM6M con la indicación de CPET (puntos de corte de Sinclair).</w:t>
      </w:r>
    </w:p>
    <w:p>
      <w:pPr>
        <w:spacing w:after="60"/>
      </w:pPr>
    </w:p>
    <w:p>
      <w:pPr>
        <w:pStyle w:val="Heading3"/>
      </w:pPr>
      <w:r>
        <w:t xml:space="preserve">Pregunta 2. Si el paciente no puede caminar por dolor o claudicación, ¿qué alternativas de evaluación existen?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color="auto" w:val="clear"/>
            <w:tcMar>
              <w:top w:type="dxa" w:w="120"/>
              <w:left w:type="dxa" w:w="160"/>
              <w:bottom w:type="dxa" w:w="120"/>
              <w:right w:type="dxa" w:w="160"/>
            </w:tcMar>
          </w:tcPr>
          <w:p>
            <w:pPr>
              <w:spacing w:after="60"/>
            </w:pPr>
            <w:r>
              <w:rPr>
                <w:b/>
                <w:bCs/>
                <w:color w:val="1F4E79"/>
              </w:rPr>
              <w:t xml:space="preserve">Respuesta modelo</w:t>
            </w:r>
          </w:p>
          <w:p>
            <w:pPr>
              <w:jc w:val="both"/>
            </w:pPr>
            <w:r>
              <w:t xml:space="preserve">Primero se debe intentar tratar la causa (analgesia previa en dolor articular) y documentar la limitación. Alternativas: (1) CPET en cicloergómetro, que reduce la carga articular y permite medir VO2 y umbral anaeróbico</w:t>
            </w:r>
            <w:r>
              <w:rPr>
                <w:color w:val="1F4E79"/>
              </w:rPr>
              <w:t xml:space="preserve"> [47]</w:t>
            </w:r>
            <w:r>
              <w:t xml:space="preserve">; en limitación de extremidades inferiores puede usarse ergometría de brazos; (2) cuestionarios estructurados como el DASI, reconociendo que la limitación ortopédica puede subestimar la capacidad cardiopulmonar</w:t>
            </w:r>
            <w:r>
              <w:rPr>
                <w:color w:val="1F4E79"/>
              </w:rPr>
              <w:t xml:space="preserve"> [32,33]</w:t>
            </w:r>
            <w:r>
              <w:t xml:space="preserve">; (3) pruebas de fuerza que no requieren marcha: dinamometría de prensión y, si es posible, sentarse-pararse</w:t>
            </w:r>
            <w:r>
              <w:rPr>
                <w:color w:val="1F4E79"/>
              </w:rPr>
              <w:t xml:space="preserve"> [40]</w:t>
            </w:r>
            <w:r>
              <w:t xml:space="preserve">; (4) PImax/PEmax</w:t>
            </w:r>
            <w:r>
              <w:rPr>
                <w:color w:val="1F4E79"/>
              </w:rPr>
              <w:t xml:space="preserve"> [45]</w:t>
            </w:r>
            <w:r>
              <w:t xml:space="preserve">; (5) escalas de fragilidad como la Clinical Frailty Scale</w:t>
            </w:r>
            <w:r>
              <w:rPr>
                <w:color w:val="1F4E79"/>
              </w:rPr>
              <w:t xml:space="preserve"> [48]</w:t>
            </w:r>
            <w:r>
              <w:t xml:space="preserve">; y (6) biomarcadores como el NT-proBNP, que las guías incorporan para estratificar el riesgo cardiovascular cuando la capacidad funcional es baja o no puede evaluarse</w:t>
            </w:r>
            <w:r>
              <w:rPr>
                <w:color w:val="1F4E79"/>
              </w:rPr>
              <w:t xml:space="preserve"> [30,31]</w:t>
            </w:r>
            <w:r>
              <w:t xml:space="preserve">. En claudicación, además, se debe considerar la enfermedad arterial periférica como marcador de enfermedad coronaria.</w:t>
            </w:r>
          </w:p>
        </w:tc>
      </w:tr>
    </w:tbl>
    <w:p>
      <w:pPr>
        <w:spacing w:after="60"/>
      </w:pPr>
    </w:p>
    <w:p>
      <w:pPr>
        <w:spacing w:after="120" w:line="276"/>
        <w:jc w:val="left"/>
      </w:pPr>
      <w:r>
        <w:rPr>
          <w:b/>
          <w:bCs/>
        </w:rPr>
        <w:t xml:space="preserve">Elementos esenciales (para evaluar):</w:t>
      </w:r>
    </w:p>
    <w:p>
      <w:pPr>
        <w:pStyle w:val="ListParagraph"/>
        <w:numPr>
          <w:ilvl w:val="0"/>
          <w:numId w:val="3"/>
        </w:numPr>
        <w:spacing w:after="60" w:line="264"/>
      </w:pPr>
      <w:r>
        <w:t xml:space="preserve">Propone la CPET en cicloergómetro (o ergometría de brazos).</w:t>
      </w:r>
    </w:p>
    <w:p>
      <w:pPr>
        <w:pStyle w:val="ListParagraph"/>
        <w:numPr>
          <w:ilvl w:val="0"/>
          <w:numId w:val="3"/>
        </w:numPr>
        <w:spacing w:after="60" w:line="264"/>
      </w:pPr>
      <w:r>
        <w:t xml:space="preserve">Propone al menos dos alternativas adicionales (DASI, prensión, PImax, fragilidad, NT-proBNP).</w:t>
      </w:r>
    </w:p>
    <w:p>
      <w:pPr>
        <w:pStyle w:val="ListParagraph"/>
        <w:numPr>
          <w:ilvl w:val="0"/>
          <w:numId w:val="3"/>
        </w:numPr>
        <w:spacing w:after="60" w:line="264"/>
      </w:pPr>
      <w:r>
        <w:t xml:space="preserve">Reconoce las limitaciones de cada alternativa.</w:t>
      </w:r>
    </w:p>
    <w:p>
      <w:pPr>
        <w:spacing w:after="120" w:line="276"/>
        <w:jc w:val="left"/>
      </w:pPr>
      <w:r>
        <w:rPr>
          <w:b/>
          <w:bCs/>
        </w:rPr>
        <w:t xml:space="preserve">Elementos que distinguen una respuesta excelente:</w:t>
      </w:r>
    </w:p>
    <w:p>
      <w:pPr>
        <w:pStyle w:val="ListParagraph"/>
        <w:numPr>
          <w:ilvl w:val="0"/>
          <w:numId w:val="3"/>
        </w:numPr>
        <w:spacing w:after="60" w:line="264"/>
      </w:pPr>
      <w:r>
        <w:t xml:space="preserve">Plantea tratar el dolor antes de evaluar.</w:t>
      </w:r>
    </w:p>
    <w:p>
      <w:pPr>
        <w:pStyle w:val="ListParagraph"/>
        <w:numPr>
          <w:ilvl w:val="0"/>
          <w:numId w:val="3"/>
        </w:numPr>
        <w:spacing w:after="60" w:line="264"/>
      </w:pPr>
      <w:r>
        <w:t xml:space="preserve">Relaciona claudicación con riesgo cardiovascular.</w:t>
      </w:r>
    </w:p>
    <w:p>
      <w:pPr>
        <w:spacing w:after="60"/>
      </w:pPr>
    </w:p>
    <w:p>
      <w:pPr>
        <w:pStyle w:val="Heading1"/>
        <w:pageBreakBefore/>
      </w:pPr>
      <w:r>
        <w:t xml:space="preserve">3. Capacidad aeróbica y CPET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color="auto" w:val="clear"/>
            <w:tcMar>
              <w:top w:type="dxa" w:w="120"/>
              <w:left w:type="dxa" w:w="160"/>
              <w:bottom w:type="dxa" w:w="120"/>
              <w:right w:type="dxa" w:w="160"/>
            </w:tcMar>
          </w:tcPr>
          <w:p>
            <w:pPr>
              <w:spacing w:after="60"/>
            </w:pPr>
            <w:r>
              <w:rPr>
                <w:b/>
                <w:bCs/>
                <w:color w:val="1F4E79"/>
              </w:rPr>
              <w:t xml:space="preserve">Objetivo docente</w:t>
            </w:r>
          </w:p>
          <w:p>
            <w:pPr>
              <w:jc w:val="both"/>
            </w:pPr>
            <w:r>
              <w:t xml:space="preserve">Que el residente interprete las variables principales de una prueba de esfuerzo cardiopulmonar (CPET) y las use para estratificar el riesgo y prescribir el ejercicio aeróbico.</w:t>
            </w:r>
          </w:p>
        </w:tc>
      </w:tr>
    </w:tbl>
    <w:p>
      <w:pPr>
        <w:spacing w:after="60"/>
      </w:pPr>
    </w:p>
    <w:p>
      <w:pPr>
        <w:pStyle w:val="Heading2"/>
      </w:pPr>
      <w:r>
        <w:t xml:space="preserve">Desarrollo</w:t>
      </w:r>
    </w:p>
    <w:p>
      <w:pPr>
        <w:pStyle w:val="Heading3"/>
      </w:pPr>
      <w:r>
        <w:t xml:space="preserve">3.1 Fundamento fisiológico</w:t>
      </w:r>
    </w:p>
    <w:p>
      <w:pPr>
        <w:spacing w:after="120" w:line="276"/>
        <w:jc w:val="both"/>
      </w:pPr>
      <w:r>
        <w:t xml:space="preserve">La cirugía mayor aumenta la demanda de oxígeno de forma sostenida durante días. El paciente que no puede aumentar su aporte de oxígeno para cubrir esa demanda entra en déficit y tiene mayor riesgo de falla orgánica y complicaciones. La CPET mide de forma integrada la respuesta cardiovascular, respiratoria y muscular al ejercicio incremental, y permite cuantificar esa reserva</w:t>
      </w:r>
      <w:r>
        <w:rPr>
          <w:color w:val="1F4E79"/>
        </w:rPr>
        <w:t xml:space="preserve"> [47,49]</w:t>
      </w:r>
      <w:r>
        <w:t xml:space="preserve">.</w:t>
      </w:r>
    </w:p>
    <w:p>
      <w:pPr>
        <w:pStyle w:val="Heading3"/>
      </w:pPr>
      <w:r>
        <w:t xml:space="preserve">3.2 Variables principales</w:t>
      </w:r>
    </w:p>
    <w:p>
      <w:pPr>
        <w:pStyle w:val="ListParagraph"/>
        <w:numPr>
          <w:ilvl w:val="0"/>
          <w:numId w:val="2"/>
        </w:numPr>
        <w:spacing w:after="60" w:line="264"/>
      </w:pPr>
      <w:r>
        <w:t xml:space="preserve">VO2 pico: consumo máximo de oxígeno alcanzado; depende del esfuerzo del paciente.</w:t>
      </w:r>
    </w:p>
    <w:p>
      <w:pPr>
        <w:pStyle w:val="ListParagraph"/>
        <w:numPr>
          <w:ilvl w:val="0"/>
          <w:numId w:val="2"/>
        </w:numPr>
        <w:spacing w:after="60" w:line="264"/>
      </w:pPr>
      <w:r>
        <w:t xml:space="preserve">Umbral anaeróbico (UA): VO2 en el punto en que la producción de energía comienza a depender del metabolismo anaeróbico; es independiente del esfuerzo máximo y por eso es muy útil en el preoperatorio.</w:t>
      </w:r>
    </w:p>
    <w:p>
      <w:pPr>
        <w:pStyle w:val="ListParagraph"/>
        <w:numPr>
          <w:ilvl w:val="0"/>
          <w:numId w:val="2"/>
        </w:numPr>
        <w:spacing w:after="60" w:line="264"/>
      </w:pPr>
      <w:r>
        <w:t xml:space="preserve">VE/VCO2 en el UA: eficiencia ventilatoria; valores elevados reflejan alteración de la relación ventilación/perfusión (insuficiencia cardiaca, hipertensión pulmonar, enfermedad pulmonar).</w:t>
      </w:r>
    </w:p>
    <w:p>
      <w:pPr>
        <w:pStyle w:val="ListParagraph"/>
        <w:numPr>
          <w:ilvl w:val="0"/>
          <w:numId w:val="2"/>
        </w:numPr>
        <w:spacing w:after="60" w:line="264"/>
      </w:pPr>
      <w:r>
        <w:t xml:space="preserve">Respuesta de la FC, de la presión arterial y del ECG (isquemia, arritmias), pulso de oxígeno y reserva ventilatoria.</w:t>
      </w:r>
    </w:p>
    <w:p>
      <w:pPr>
        <w:spacing w:after="60"/>
      </w:pPr>
    </w:p>
    <w:p>
      <w:pPr>
        <w:spacing w:after="120" w:line="276"/>
        <w:jc w:val="both"/>
      </w:pPr>
      <w:r>
        <w:t xml:space="preserve">Las guías de consenso del Perioperative Exercise Testing and Training Society describen indicaciones, realización e interpretación estandarizadas de la CPET perioperatoria</w:t>
      </w:r>
      <w:r>
        <w:rPr>
          <w:color w:val="1F4E79"/>
        </w:rPr>
        <w:t xml:space="preserve"> [47]</w:t>
      </w:r>
      <w:r>
        <w:t xml:space="preserve">.</w:t>
      </w:r>
    </w:p>
    <w:p>
      <w:pPr>
        <w:pStyle w:val="Heading3"/>
      </w:pPr>
      <w:r>
        <w:t xml:space="preserve">3.3 Umbrales de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Contexto</w:t>
            </w:r>
          </w:p>
        </w:tc>
        <w:tc>
          <w:tcPr>
            <w:tcW w:type="dxa" w:w="3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Hallazgo</w:t>
            </w:r>
          </w:p>
        </w:tc>
        <w:tc>
          <w:tcPr>
            <w:tcW w:type="dxa" w:w="32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Asociación</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Cirugía abdominal mayor, adultos mayores</w:t>
            </w:r>
            <w:r>
              <w:rPr>
                <w:color w:val="1F4E79"/>
                <w:sz w:val="18"/>
                <w:szCs w:val="18"/>
              </w:rPr>
              <w:t xml:space="preserve"> [50]</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UA &lt; 11 mL/kg/min</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Mayor mortalidad cardiovascular postoperatoria</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Cirugía abdominal mayor</w:t>
            </w:r>
            <w:r>
              <w:rPr>
                <w:color w:val="1F4E79"/>
                <w:sz w:val="18"/>
                <w:szCs w:val="18"/>
              </w:rPr>
              <w:t xml:space="preserve"> [51]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UA ≤ 10,9 mL/kg/min; VE/VCO2 &gt; 34</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Mortalidad hospitalaria y a 90 días (RR 6,8 y 4,6 respectivamente)</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Cirugía mayor electiva</w:t>
            </w:r>
            <w:r>
              <w:rPr>
                <w:color w:val="1F4E79"/>
                <w:sz w:val="18"/>
                <w:szCs w:val="18"/>
              </w:rPr>
              <w:t xml:space="preserve"> [52]</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UA óptimo de 10,1 mL/kg/min (AUC 0,85)</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Complicaciones y estadía hospitalaria</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Resección pulmonar (ACCP)</w:t>
            </w:r>
            <w:r>
              <w:rPr>
                <w:color w:val="1F4E79"/>
                <w:sz w:val="18"/>
                <w:szCs w:val="18"/>
              </w:rPr>
              <w:t xml:space="preserve"> [53]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VO2 máx &lt; 10 mL/kg/min o &lt; 35 % del predicho</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Alto riesgo: considerar alternativas a la resección mayor</w:t>
            </w:r>
          </w:p>
        </w:tc>
      </w:tr>
      <w:tr>
        <w:trPr>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Resección pulmonar (ACCP)</w:t>
            </w:r>
            <w:r>
              <w:rPr>
                <w:color w:val="1F4E79"/>
                <w:sz w:val="18"/>
                <w:szCs w:val="18"/>
              </w:rPr>
              <w:t xml:space="preserve"> [53]</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VO2 máx &gt; 20 mL/kg/min o &gt; 75 % del predicho</w:t>
            </w:r>
          </w:p>
        </w:tc>
        <w:tc>
          <w:tcPr>
            <w:tcW w:type="dxa" w:w="3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Bajo riesgo</w:t>
            </w:r>
          </w:p>
        </w:tc>
      </w:tr>
    </w:tbl>
    <w:p>
      <w:pPr>
        <w:spacing w:after="60"/>
      </w:pPr>
    </w:p>
    <w:p>
      <w:pPr>
        <w:spacing w:after="120" w:line="276"/>
        <w:jc w:val="both"/>
      </w:pPr>
      <w:r>
        <w:t xml:space="preserve">En la evaluación para resección pulmonar, la función pulmonar postoperatoria predicha (VEF1 y DLCO) orienta la necesidad de prueba de esfuerzo; la prueba de escalera y el shuttle walk test se usan como tamizaje y, si son insuficientes, se indica CPET</w:t>
      </w:r>
      <w:r>
        <w:rPr>
          <w:color w:val="1F4E79"/>
        </w:rPr>
        <w:t xml:space="preserve"> [53]</w:t>
      </w:r>
      <w:r>
        <w:t xml:space="preserve">. Los umbrales provienen de cohortes con distintas poblaciones y cirugías, por lo que deben interpretarse en conjunto con la clínica.</w:t>
      </w:r>
    </w:p>
    <w:p>
      <w:pPr>
        <w:pStyle w:val="Heading3"/>
      </w:pPr>
      <w:r>
        <w:t xml:space="preserve">3.4 Prescripción del ejercicio aeróbico (FITT)</w:t>
      </w:r>
    </w:p>
    <w:p>
      <w:pPr>
        <w:pStyle w:val="ListParagraph"/>
        <w:numPr>
          <w:ilvl w:val="0"/>
          <w:numId w:val="2"/>
        </w:numPr>
        <w:spacing w:after="60" w:line="264"/>
      </w:pPr>
      <w:r>
        <w:t xml:space="preserve">Frecuencia: 3 a 5 sesiones por semana</w:t>
      </w:r>
      <w:r>
        <w:rPr>
          <w:color w:val="1F4E79"/>
        </w:rPr>
        <w:t xml:space="preserve"> [54]</w:t>
      </w:r>
      <w:r>
        <w:t xml:space="preserve">.</w:t>
      </w:r>
    </w:p>
    <w:p>
      <w:pPr>
        <w:pStyle w:val="ListParagraph"/>
        <w:numPr>
          <w:ilvl w:val="0"/>
          <w:numId w:val="2"/>
        </w:numPr>
        <w:spacing w:after="60" w:line="264"/>
      </w:pPr>
      <w:r>
        <w:t xml:space="preserve">Intensidad: moderada (40–59 % de la FC de reserva o Borg 12–13/20) a vigorosa (60–89 % de la FC de reserva o Borg 14–17/20)</w:t>
      </w:r>
      <w:r>
        <w:rPr>
          <w:color w:val="1F4E79"/>
        </w:rPr>
        <w:t xml:space="preserve"> [54,55]</w:t>
      </w:r>
      <w:r>
        <w:t xml:space="preserve">; cuando se dispone de CPET, la carga puede calcularse sobre el umbral anaeróbico y el VO2 pico</w:t>
      </w:r>
      <w:r>
        <w:rPr>
          <w:color w:val="1F4E79"/>
        </w:rPr>
        <w:t xml:space="preserve"> [47]</w:t>
      </w:r>
      <w:r>
        <w:t xml:space="preserve">. En pacientes con betabloqueadores se prefiere la escala de Borg a la FC.</w:t>
      </w:r>
    </w:p>
    <w:p>
      <w:pPr>
        <w:pStyle w:val="ListParagraph"/>
        <w:numPr>
          <w:ilvl w:val="0"/>
          <w:numId w:val="2"/>
        </w:numPr>
        <w:spacing w:after="60" w:line="264"/>
      </w:pPr>
      <w:r>
        <w:t xml:space="preserve">Tiempo: 20 a 40 minutos por sesión, incluyendo calentamiento y vuelta a la calma.</w:t>
      </w:r>
    </w:p>
    <w:p>
      <w:pPr>
        <w:pStyle w:val="ListParagraph"/>
        <w:numPr>
          <w:ilvl w:val="0"/>
          <w:numId w:val="2"/>
        </w:numPr>
        <w:spacing w:after="60" w:line="264"/>
      </w:pPr>
      <w:r>
        <w:t xml:space="preserve">Tipo: caminata, bicicleta estática o cicloergómetro.</w:t>
      </w:r>
    </w:p>
    <w:p>
      <w:pPr>
        <w:pStyle w:val="ListParagraph"/>
        <w:numPr>
          <w:ilvl w:val="0"/>
          <w:numId w:val="2"/>
        </w:numPr>
        <w:spacing w:after="60" w:line="264"/>
      </w:pPr>
      <w:r>
        <w:t xml:space="preserve">Entrenamiento interválico de alta intensidad (HIIT): alterna períodos cortos de alta intensidad con períodos de recuperación activa. En pacientes de alto riesgo, un programa personalizado con HIIT aumentó la capacidad aeróbica y redujo las complicaciones</w:t>
      </w:r>
      <w:r>
        <w:rPr>
          <w:color w:val="1F4E79"/>
        </w:rPr>
        <w:t xml:space="preserve"> [14]</w:t>
      </w:r>
      <w:r>
        <w:t xml:space="preserve">; en cirugía hepática, 4 semanas de HIIT mejoraron el VO2 en el UA</w:t>
      </w:r>
      <w:r>
        <w:rPr>
          <w:color w:val="1F4E79"/>
        </w:rPr>
        <w:t xml:space="preserve"> [16]</w:t>
      </w:r>
      <w:r>
        <w:t xml:space="preserve">. Es particularmente útil cuando la ventana preoperatoria es corta.</w:t>
      </w: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20"/>
              <w:left w:type="dxa" w:w="160"/>
              <w:bottom w:type="dxa" w:w="120"/>
              <w:right w:type="dxa" w:w="160"/>
            </w:tcMar>
          </w:tcPr>
          <w:p>
            <w:pPr>
              <w:spacing w:after="60"/>
            </w:pPr>
            <w:r>
              <w:rPr>
                <w:b/>
                <w:bCs/>
                <w:color w:val="1F4E79"/>
              </w:rPr>
              <w:t xml:space="preserve">Perla para el anestesiólogo</w:t>
            </w:r>
          </w:p>
          <w:p>
            <w:pPr>
              <w:jc w:val="both"/>
            </w:pPr>
            <w:r>
              <w:t xml:space="preserve">La CPET no solo entrega un número: permite conversar con el paciente y el cirujano sobre el riesgo, decidir el destino postoperatorio (sala o unidad de paciente crítico) e individualizar el entrenamiento</w:t>
            </w:r>
            <w:r>
              <w:rPr>
                <w:color w:val="1F4E79"/>
              </w:rPr>
              <w:t xml:space="preserve"> [47]</w:t>
            </w:r>
            <w:r>
              <w:t xml:space="preserve">.</w:t>
            </w:r>
          </w:p>
        </w:tc>
      </w:tr>
    </w:tbl>
    <w:p>
      <w:pPr>
        <w:spacing w:after="60"/>
      </w:pPr>
    </w:p>
    <w:p>
      <w:pPr>
        <w:pStyle w:val="Heading2"/>
      </w:pPr>
      <w:r>
        <w:t xml:space="preserve">Actividad práctica en la rotación</w:t>
      </w:r>
    </w:p>
    <w:p>
      <w:pPr>
        <w:spacing w:after="120" w:line="276"/>
        <w:jc w:val="both"/>
      </w:pPr>
      <w:r>
        <w:t xml:space="preserve">Interpretar al menos 3 informes de CPET con el tutor. Calcular con el kinesiólogo la intensidad de entrenamiento (FC objetivo o carga en watts) de un paciente real.</w:t>
      </w:r>
    </w:p>
    <w:p>
      <w:pPr>
        <w:pStyle w:val="Heading3"/>
      </w:pPr>
      <w:r>
        <w:t xml:space="preserve">Desempeño esperado (estándar ideal)</w:t>
      </w:r>
    </w:p>
    <w:p>
      <w:pPr>
        <w:pStyle w:val="ListParagraph"/>
        <w:numPr>
          <w:ilvl w:val="0"/>
          <w:numId w:val="3"/>
        </w:numPr>
        <w:spacing w:after="60" w:line="264"/>
      </w:pPr>
      <w:r>
        <w:t xml:space="preserve">Interpreta en forma sistemática: calidad del esfuerzo (RER, motivo de término), VO2 pico, UA, VE/VCO2, respuesta cardiovascular y ECG.</w:t>
      </w:r>
    </w:p>
    <w:p>
      <w:pPr>
        <w:pStyle w:val="ListParagraph"/>
        <w:numPr>
          <w:ilvl w:val="0"/>
          <w:numId w:val="3"/>
        </w:numPr>
        <w:spacing w:after="60" w:line="264"/>
      </w:pPr>
      <w:r>
        <w:t xml:space="preserve">Identifica el probable mecanismo limitante (cardiovascular, ventilatorio, periférico/desacondicionamiento).</w:t>
      </w:r>
    </w:p>
    <w:p>
      <w:pPr>
        <w:pStyle w:val="ListParagraph"/>
        <w:numPr>
          <w:ilvl w:val="0"/>
          <w:numId w:val="3"/>
        </w:numPr>
        <w:spacing w:after="60" w:line="264"/>
      </w:pPr>
      <w:r>
        <w:t xml:space="preserve">Traduce el resultado en una categoría de riesgo y en una recomendación (prehabilitación, destino postoperatorio, monitorización).</w:t>
      </w:r>
    </w:p>
    <w:p>
      <w:pPr>
        <w:pStyle w:val="ListParagraph"/>
        <w:numPr>
          <w:ilvl w:val="0"/>
          <w:numId w:val="3"/>
        </w:numPr>
        <w:spacing w:after="60" w:line="264"/>
      </w:pPr>
      <w:r>
        <w:t xml:space="preserve">Calcula correctamente la FC objetivo con la fórmula de Karvonen [FC objetivo = FC reposo + % × (FC máx − FC reposo)] o la carga en watts a partir del UA.</w:t>
      </w:r>
    </w:p>
    <w:p>
      <w:pPr>
        <w:pStyle w:val="Heading2"/>
      </w:pPr>
      <w:r>
        <w:t xml:space="preserve">Preguntas para la discusión</w:t>
      </w:r>
    </w:p>
    <w:p>
      <w:pPr>
        <w:pStyle w:val="Heading3"/>
      </w:pPr>
      <w:r>
        <w:t xml:space="preserve">Pregunta 1. Paciente con UA de 9 mL/kg/min programado para una gastrectomía: ¿qué cambia en su plan anestésico y en su destino postoperatorio?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color="auto" w:val="clear"/>
            <w:tcMar>
              <w:top w:type="dxa" w:w="120"/>
              <w:left w:type="dxa" w:w="160"/>
              <w:bottom w:type="dxa" w:w="120"/>
              <w:right w:type="dxa" w:w="160"/>
            </w:tcMar>
          </w:tcPr>
          <w:p>
            <w:pPr>
              <w:spacing w:after="60"/>
            </w:pPr>
            <w:r>
              <w:rPr>
                <w:b/>
                <w:bCs/>
                <w:color w:val="1F4E79"/>
              </w:rPr>
              <w:t xml:space="preserve">Respuesta modelo</w:t>
            </w:r>
          </w:p>
          <w:p>
            <w:pPr>
              <w:jc w:val="both"/>
            </w:pPr>
            <w:r>
              <w:t xml:space="preserve">Un UA de 9 mL/kg/min está bajo los umbrales asociados a mayor morbimortalidad (&lt; 10–11 mL/kg/min)</w:t>
            </w:r>
            <w:r>
              <w:rPr>
                <w:color w:val="1F4E79"/>
              </w:rPr>
              <w:t xml:space="preserve"> [50–52]</w:t>
            </w:r>
            <w:r>
              <w:t xml:space="preserve">, por lo que el paciente es de alto riesgo. (1) Analizar la causa: revisar VE/VCO2, ECG, respuesta de la FC y de la presión, Hb y espirometría para distinguir limitación cardiaca, pulmonar o desacondicionamiento; investigar y tratar causas corregibles (anemia, insuficiencia cardiaca, EPOC)</w:t>
            </w:r>
            <w:r>
              <w:rPr>
                <w:color w:val="1F4E79"/>
              </w:rPr>
              <w:t xml:space="preserve"> [11,47]</w:t>
            </w:r>
            <w:r>
              <w:t xml:space="preserve">. (2) Decisión compartida: informar el riesgo cuantificado al paciente y discutir con el cirujano la vía de abordaje (mínimamente invasiva si es factible) y el momento. (3) Prehabilitación: si hay ventana, indicar entrenamiento supervisado (idealmente HIIT) y nutricional, y repetir la CPET; el UA puede mejorar en pocas semanas</w:t>
            </w:r>
            <w:r>
              <w:rPr>
                <w:color w:val="1F4E79"/>
              </w:rPr>
              <w:t xml:space="preserve"> [13,14]</w:t>
            </w:r>
            <w:r>
              <w:t xml:space="preserve">. (4) Plan intraoperatorio: monitorización hemodinámica avanzada según el caso (línea arterial, terapia de fluidos orientada a objetivos), evitar la hipotensión, ventilación protectora, analgesia multimodal con técnica regional (epidural torácica u otra) que permita toser y movilizarse, profilaxis de NVPO y reversión completa del bloqueo neuromuscular</w:t>
            </w:r>
            <w:r>
              <w:rPr>
                <w:color w:val="1F4E79"/>
              </w:rPr>
              <w:t xml:space="preserve"> [56–58]</w:t>
            </w:r>
            <w:r>
              <w:t xml:space="preserve">. (5) Destino postoperatorio: planificar una unidad de cuidados intermedios o intensivos, con un plan explícito de movilización precoz.</w:t>
            </w:r>
          </w:p>
        </w:tc>
      </w:tr>
    </w:tbl>
    <w:p>
      <w:pPr>
        <w:spacing w:after="60"/>
      </w:pPr>
    </w:p>
    <w:p>
      <w:pPr>
        <w:spacing w:after="120" w:line="276"/>
        <w:jc w:val="left"/>
      </w:pPr>
      <w:r>
        <w:rPr>
          <w:b/>
          <w:bCs/>
        </w:rPr>
        <w:t xml:space="preserve">Elementos esenciales (para evaluar):</w:t>
      </w:r>
    </w:p>
    <w:p>
      <w:pPr>
        <w:pStyle w:val="ListParagraph"/>
        <w:numPr>
          <w:ilvl w:val="0"/>
          <w:numId w:val="3"/>
        </w:numPr>
        <w:spacing w:after="60" w:line="264"/>
      </w:pPr>
      <w:r>
        <w:t xml:space="preserve">Clasifica el riesgo como alto y cita el umbral.</w:t>
      </w:r>
    </w:p>
    <w:p>
      <w:pPr>
        <w:pStyle w:val="ListParagraph"/>
        <w:numPr>
          <w:ilvl w:val="0"/>
          <w:numId w:val="3"/>
        </w:numPr>
        <w:spacing w:after="60" w:line="264"/>
      </w:pPr>
      <w:r>
        <w:t xml:space="preserve">Busca la causa del UA bajo y corrige lo corregible.</w:t>
      </w:r>
    </w:p>
    <w:p>
      <w:pPr>
        <w:pStyle w:val="ListParagraph"/>
        <w:numPr>
          <w:ilvl w:val="0"/>
          <w:numId w:val="3"/>
        </w:numPr>
        <w:spacing w:after="60" w:line="264"/>
      </w:pPr>
      <w:r>
        <w:t xml:space="preserve">Propone prehabilitación y reevaluación si hay ventana.</w:t>
      </w:r>
    </w:p>
    <w:p>
      <w:pPr>
        <w:pStyle w:val="ListParagraph"/>
        <w:numPr>
          <w:ilvl w:val="0"/>
          <w:numId w:val="3"/>
        </w:numPr>
        <w:spacing w:after="60" w:line="264"/>
      </w:pPr>
      <w:r>
        <w:t xml:space="preserve">Propone destino postoperatorio monitorizado.</w:t>
      </w:r>
    </w:p>
    <w:p>
      <w:pPr>
        <w:pStyle w:val="ListParagraph"/>
        <w:numPr>
          <w:ilvl w:val="0"/>
          <w:numId w:val="3"/>
        </w:numPr>
        <w:spacing w:after="60" w:line="264"/>
      </w:pPr>
      <w:r>
        <w:t xml:space="preserve">Ajusta el plan anestésico (fluidos, monitorización, analgesia, ventilación).</w:t>
      </w:r>
    </w:p>
    <w:p>
      <w:pPr>
        <w:spacing w:after="120" w:line="276"/>
        <w:jc w:val="left"/>
      </w:pPr>
      <w:r>
        <w:rPr>
          <w:b/>
          <w:bCs/>
        </w:rPr>
        <w:t xml:space="preserve">Elementos que distinguen una respuesta excelente:</w:t>
      </w:r>
    </w:p>
    <w:p>
      <w:pPr>
        <w:pStyle w:val="ListParagraph"/>
        <w:numPr>
          <w:ilvl w:val="0"/>
          <w:numId w:val="3"/>
        </w:numPr>
        <w:spacing w:after="60" w:line="264"/>
      </w:pPr>
      <w:r>
        <w:t xml:space="preserve">Plantea la decisión compartida y el consentimiento informado.</w:t>
      </w:r>
    </w:p>
    <w:p>
      <w:pPr>
        <w:pStyle w:val="ListParagraph"/>
        <w:numPr>
          <w:ilvl w:val="0"/>
          <w:numId w:val="3"/>
        </w:numPr>
        <w:spacing w:after="60" w:line="264"/>
      </w:pPr>
      <w:r>
        <w:t xml:space="preserve">Discute la vía de abordaje con el cirujano.</w:t>
      </w:r>
    </w:p>
    <w:p>
      <w:pPr>
        <w:spacing w:after="60"/>
      </w:pPr>
    </w:p>
    <w:p>
      <w:pPr>
        <w:pStyle w:val="Heading3"/>
      </w:pPr>
      <w:r>
        <w:t xml:space="preserve">Pregunta 2. ¿Qué hacer cuando no hay CPET disponible?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color="auto" w:val="clear"/>
            <w:tcMar>
              <w:top w:type="dxa" w:w="120"/>
              <w:left w:type="dxa" w:w="160"/>
              <w:bottom w:type="dxa" w:w="120"/>
              <w:right w:type="dxa" w:w="160"/>
            </w:tcMar>
          </w:tcPr>
          <w:p>
            <w:pPr>
              <w:spacing w:after="60"/>
            </w:pPr>
            <w:r>
              <w:rPr>
                <w:b/>
                <w:bCs/>
                <w:color w:val="1F4E79"/>
              </w:rPr>
              <w:t xml:space="preserve">Respuesta modelo</w:t>
            </w:r>
          </w:p>
          <w:p>
            <w:pPr>
              <w:jc w:val="both"/>
            </w:pPr>
            <w:r>
              <w:t xml:space="preserve">Usar una evaluación escalonada con las herramientas disponibles: (1) DASI, con su umbral de 34 puntos y la estimación del VO2</w:t>
            </w:r>
            <w:r>
              <w:rPr>
                <w:color w:val="1F4E79"/>
              </w:rPr>
              <w:t xml:space="preserve"> [32,33]</w:t>
            </w:r>
            <w:r>
              <w:t xml:space="preserve">; (2) TM6M, que permite identificar a quienes probablemente tienen un UA bajo (&lt; 427 m) y a quienes probablemente no necesitan CPET (&gt; 563 m)</w:t>
            </w:r>
            <w:r>
              <w:rPr>
                <w:color w:val="1F4E79"/>
              </w:rPr>
              <w:t xml:space="preserve"> [38]</w:t>
            </w:r>
            <w:r>
              <w:t xml:space="preserve">; (3) en cirugía pulmonar, la prueba de escalera o el shuttle walk test</w:t>
            </w:r>
            <w:r>
              <w:rPr>
                <w:color w:val="1F4E79"/>
              </w:rPr>
              <w:t xml:space="preserve"> [53]</w:t>
            </w:r>
            <w:r>
              <w:t xml:space="preserve">; (4) NT-proBNP y escalas de riesgo clínico, según las guías de evaluación cardiovascular</w:t>
            </w:r>
            <w:r>
              <w:rPr>
                <w:color w:val="1F4E79"/>
              </w:rPr>
              <w:t xml:space="preserve"> [30,31]</w:t>
            </w:r>
            <w:r>
              <w:t xml:space="preserve">; y (5) pruebas de fuerza y de fragilidad</w:t>
            </w:r>
            <w:r>
              <w:rPr>
                <w:color w:val="1F4E79"/>
              </w:rPr>
              <w:t xml:space="preserve"> [40,48]</w:t>
            </w:r>
            <w:r>
              <w:t xml:space="preserve">. Los pacientes de riesgo intermedio en los que el resultado cambiaría la conducta pueden derivarse a un centro con CPET. Para prescribir ejercicio sin CPET se usan la FC de reserva y la escala de Borg</w:t>
            </w:r>
            <w:r>
              <w:rPr>
                <w:color w:val="1F4E79"/>
              </w:rPr>
              <w:t xml:space="preserve"> [54,55]</w:t>
            </w:r>
            <w:r>
              <w:t xml:space="preserve">.</w:t>
            </w:r>
          </w:p>
        </w:tc>
      </w:tr>
    </w:tbl>
    <w:p>
      <w:pPr>
        <w:spacing w:after="60"/>
      </w:pPr>
    </w:p>
    <w:p>
      <w:pPr>
        <w:spacing w:after="120" w:line="276"/>
        <w:jc w:val="left"/>
      </w:pPr>
      <w:r>
        <w:rPr>
          <w:b/>
          <w:bCs/>
        </w:rPr>
        <w:t xml:space="preserve">Elementos esenciales (para evaluar):</w:t>
      </w:r>
    </w:p>
    <w:p>
      <w:pPr>
        <w:pStyle w:val="ListParagraph"/>
        <w:numPr>
          <w:ilvl w:val="0"/>
          <w:numId w:val="3"/>
        </w:numPr>
        <w:spacing w:after="60" w:line="264"/>
      </w:pPr>
      <w:r>
        <w:t xml:space="preserve">Propone al menos dos alternativas validadas con sus umbrales.</w:t>
      </w:r>
    </w:p>
    <w:p>
      <w:pPr>
        <w:pStyle w:val="ListParagraph"/>
        <w:numPr>
          <w:ilvl w:val="0"/>
          <w:numId w:val="3"/>
        </w:numPr>
        <w:spacing w:after="60" w:line="264"/>
      </w:pPr>
      <w:r>
        <w:t xml:space="preserve">Prescribe ejercicio sin CPET (FC de reserva/Borg).</w:t>
      </w:r>
    </w:p>
    <w:p>
      <w:pPr>
        <w:pStyle w:val="ListParagraph"/>
        <w:numPr>
          <w:ilvl w:val="0"/>
          <w:numId w:val="3"/>
        </w:numPr>
        <w:spacing w:after="60" w:line="264"/>
      </w:pPr>
      <w:r>
        <w:t xml:space="preserve">Identifica cuándo vale la pena derivar a CPET.</w:t>
      </w:r>
    </w:p>
    <w:p>
      <w:pPr>
        <w:spacing w:after="120" w:line="276"/>
        <w:jc w:val="left"/>
      </w:pPr>
      <w:r>
        <w:rPr>
          <w:b/>
          <w:bCs/>
        </w:rPr>
        <w:t xml:space="preserve">Elementos que distinguen una respuesta excelente:</w:t>
      </w:r>
    </w:p>
    <w:p>
      <w:pPr>
        <w:pStyle w:val="ListParagraph"/>
        <w:numPr>
          <w:ilvl w:val="0"/>
          <w:numId w:val="3"/>
        </w:numPr>
        <w:spacing w:after="60" w:line="264"/>
      </w:pPr>
      <w:r>
        <w:t xml:space="preserve">Menciona el NT-proBNP.</w:t>
      </w:r>
    </w:p>
    <w:p>
      <w:pPr>
        <w:pStyle w:val="ListParagraph"/>
        <w:numPr>
          <w:ilvl w:val="0"/>
          <w:numId w:val="3"/>
        </w:numPr>
        <w:spacing w:after="60" w:line="264"/>
      </w:pPr>
      <w:r>
        <w:t xml:space="preserve">Diferencia la evaluación en cirugía pulmonar.</w:t>
      </w:r>
    </w:p>
    <w:p>
      <w:pPr>
        <w:spacing w:after="60"/>
      </w:pPr>
    </w:p>
    <w:p>
      <w:pPr>
        <w:pStyle w:val="Heading1"/>
        <w:pageBreakBefore/>
      </w:pPr>
      <w:r>
        <w:t xml:space="preserve">4. Importancia del ejercicio de fuerza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color="auto" w:val="clear"/>
            <w:tcMar>
              <w:top w:type="dxa" w:w="120"/>
              <w:left w:type="dxa" w:w="160"/>
              <w:bottom w:type="dxa" w:w="120"/>
              <w:right w:type="dxa" w:w="160"/>
            </w:tcMar>
          </w:tcPr>
          <w:p>
            <w:pPr>
              <w:spacing w:after="60"/>
            </w:pPr>
            <w:r>
              <w:rPr>
                <w:b/>
                <w:bCs/>
                <w:color w:val="1F4E79"/>
              </w:rPr>
              <w:t xml:space="preserve">Objetivo docente</w:t>
            </w:r>
          </w:p>
          <w:p>
            <w:pPr>
              <w:jc w:val="both"/>
            </w:pPr>
            <w:r>
              <w:t xml:space="preserve">Que el residente reconozca la pérdida muscular perioperatoria como un determinante de los resultados y fundamente la prescripción del ejercicio de fuerza.</w:t>
            </w:r>
          </w:p>
        </w:tc>
      </w:tr>
    </w:tbl>
    <w:p>
      <w:pPr>
        <w:spacing w:after="60"/>
      </w:pPr>
    </w:p>
    <w:p>
      <w:pPr>
        <w:pStyle w:val="Heading2"/>
      </w:pPr>
      <w:r>
        <w:t xml:space="preserve">Desarrollo</w:t>
      </w:r>
    </w:p>
    <w:p>
      <w:pPr>
        <w:pStyle w:val="Heading3"/>
      </w:pPr>
      <w:r>
        <w:t xml:space="preserve">4.1 Pérdida muscular perioperatoria</w:t>
      </w:r>
    </w:p>
    <w:p>
      <w:pPr>
        <w:spacing w:after="120" w:line="276"/>
        <w:jc w:val="both"/>
      </w:pPr>
      <w:r>
        <w:t xml:space="preserve">El reposo es por sí mismo un estímulo catabólico potente: en adultos mayores sanos, 10 días de reposo en cama produjeron una pérdida de alrededor de 1 kg de masa magra de las extremidades inferiores, con caída de la fuerza y de la capacidad aeróbica</w:t>
      </w:r>
      <w:r>
        <w:rPr>
          <w:color w:val="1F4E79"/>
        </w:rPr>
        <w:t xml:space="preserve"> [59]</w:t>
      </w:r>
      <w:r>
        <w:t xml:space="preserve">. En la enfermedad crítica, el área de sección del recto femoral disminuye cerca de un 18 % en 10 días, más aún con falla multiorgánica</w:t>
      </w:r>
      <w:r>
        <w:rPr>
          <w:color w:val="1F4E79"/>
        </w:rPr>
        <w:t xml:space="preserve"> [60]</w:t>
      </w:r>
      <w:r>
        <w:t xml:space="preserve">. A esto se suman la inflamación, la resistencia anabólica, la desnutrición y los tratamientos oncológicos.</w:t>
      </w:r>
    </w:p>
    <w:p>
      <w:pPr>
        <w:spacing w:after="120" w:line="276"/>
        <w:jc w:val="both"/>
      </w:pPr>
      <w:r>
        <w:t xml:space="preserve">La sarcopenia preoperatoria se asocia a mayor riesgo de complicaciones mayores (RR 1,40) y totales (RR 1,35) en cirugía oncológica gastrointestinal</w:t>
      </w:r>
      <w:r>
        <w:rPr>
          <w:color w:val="1F4E79"/>
        </w:rPr>
        <w:t xml:space="preserve"> [61]</w:t>
      </w:r>
      <w:r>
        <w:t xml:space="preserve">, y la baja fuerza se relaciona con mayor estadía, pérdida de independencia e institucionalización</w:t>
      </w:r>
      <w:r>
        <w:rPr>
          <w:color w:val="1F4E79"/>
        </w:rPr>
        <w:t xml:space="preserve"> [40]</w:t>
      </w:r>
      <w:r>
        <w:t xml:space="preserve">.</w:t>
      </w:r>
    </w:p>
    <w:p>
      <w:pPr>
        <w:pStyle w:val="Heading3"/>
      </w:pPr>
      <w:r>
        <w:t xml:space="preserve">4.2 Beneficios del entrenamiento de fuerza</w:t>
      </w:r>
    </w:p>
    <w:p>
      <w:pPr>
        <w:spacing w:after="120" w:line="276"/>
        <w:jc w:val="both"/>
      </w:pPr>
      <w:r>
        <w:t xml:space="preserve">El ejercicio de fuerza aumenta la masa y la fuerza muscular, mejora la capacidad para realizar transferencias, la velocidad de marcha y el equilibrio, y es el principal componente de las intervenciones recomendadas para la fragilidad física</w:t>
      </w:r>
      <w:r>
        <w:rPr>
          <w:color w:val="1F4E79"/>
        </w:rPr>
        <w:t xml:space="preserve"> [62,63]</w:t>
      </w:r>
      <w:r>
        <w:t xml:space="preserve">. Un programa exclusivamente aeróbico mejora la capacidad cardiorrespiratoria, pero tiene un efecto limitado sobre la masa y la fuerza muscular.</w:t>
      </w:r>
    </w:p>
    <w:p>
      <w:pPr>
        <w:pStyle w:val="Heading3"/>
      </w:pPr>
      <w:r>
        <w:t xml:space="preserve">4.3 Prescripción</w:t>
      </w:r>
    </w:p>
    <w:p>
      <w:pPr>
        <w:pStyle w:val="ListParagraph"/>
        <w:numPr>
          <w:ilvl w:val="0"/>
          <w:numId w:val="2"/>
        </w:numPr>
        <w:spacing w:after="60" w:line="264"/>
      </w:pPr>
      <w:r>
        <w:t xml:space="preserve">Frecuencia: 2–3 sesiones por semana, en días no consecutivos</w:t>
      </w:r>
      <w:r>
        <w:rPr>
          <w:color w:val="1F4E79"/>
        </w:rPr>
        <w:t xml:space="preserve"> [62]</w:t>
      </w:r>
      <w:r>
        <w:t xml:space="preserve">.</w:t>
      </w:r>
    </w:p>
    <w:p>
      <w:pPr>
        <w:pStyle w:val="ListParagraph"/>
        <w:numPr>
          <w:ilvl w:val="0"/>
          <w:numId w:val="2"/>
        </w:numPr>
        <w:spacing w:after="60" w:line="264"/>
      </w:pPr>
      <w:r>
        <w:t xml:space="preserve">Ejercicios: 6–10 ejercicios de grandes grupos musculares, con énfasis en extremidades inferiores (sentarse-pararse, sentadilla asistida, step, extensión de rodilla, puente de glúteos) y también extremidades superiores y tronco.</w:t>
      </w:r>
    </w:p>
    <w:p>
      <w:pPr>
        <w:pStyle w:val="ListParagraph"/>
        <w:numPr>
          <w:ilvl w:val="0"/>
          <w:numId w:val="2"/>
        </w:numPr>
        <w:spacing w:after="60" w:line="264"/>
      </w:pPr>
      <w:r>
        <w:t xml:space="preserve">Volumen: 1–3 series de 8–12 repeticiones.</w:t>
      </w:r>
    </w:p>
    <w:p>
      <w:pPr>
        <w:pStyle w:val="ListParagraph"/>
        <w:numPr>
          <w:ilvl w:val="0"/>
          <w:numId w:val="2"/>
        </w:numPr>
        <w:spacing w:after="60" w:line="264"/>
      </w:pPr>
      <w:r>
        <w:t xml:space="preserve">Intensidad: iniciar con cargas bajas o moderadas (esfuerzo percibido 5–6/10) y progresar hacia 70–85 % de 1RM según tolerancia</w:t>
      </w:r>
      <w:r>
        <w:rPr>
          <w:color w:val="1F4E79"/>
        </w:rPr>
        <w:t xml:space="preserve"> [62]</w:t>
      </w:r>
      <w:r>
        <w:t xml:space="preserve">. En la práctica se usan bandas elásticas, peso corporal, mancuernas o máquinas.</w:t>
      </w:r>
    </w:p>
    <w:p>
      <w:pPr>
        <w:pStyle w:val="ListParagraph"/>
        <w:numPr>
          <w:ilvl w:val="0"/>
          <w:numId w:val="2"/>
        </w:numPr>
        <w:spacing w:after="60" w:line="264"/>
      </w:pPr>
      <w:r>
        <w:t xml:space="preserve">Progresión: aumentar la carga cuando el paciente completa con facilidad las repeticiones previstas; enseñar la respiración sin maniobra de Valsalva.</w:t>
      </w:r>
    </w:p>
    <w:p>
      <w:pPr>
        <w:spacing w:after="60"/>
      </w:pPr>
    </w:p>
    <w:p>
      <w:pPr>
        <w:pStyle w:val="Heading3"/>
      </w:pPr>
      <w:r>
        <w:t xml:space="preserve">4.4 Sinergia con la nutrición</w:t>
      </w:r>
    </w:p>
    <w:p>
      <w:pPr>
        <w:spacing w:after="120" w:line="276"/>
        <w:jc w:val="both"/>
      </w:pPr>
      <w:r>
        <w:t xml:space="preserve">El estímulo de fuerza requiere un aporte proteico adecuado para generar ganancia muscular: 1,0–1,2 g/kg/día en adultos mayores sanos y 1,2–1,5 g/kg/día en presencia de enfermedad aguda o crónica</w:t>
      </w:r>
      <w:r>
        <w:rPr>
          <w:color w:val="1F4E79"/>
        </w:rPr>
        <w:t xml:space="preserve"> [6]</w:t>
      </w:r>
      <w:r>
        <w:t xml:space="preserve">, distribuidos durante el día y, si es posible, con una porción cercana al ejercicio. Los programas multimodales que combinan nutrición y ejercicio son los que han mostrado mejores resultados</w:t>
      </w:r>
      <w:r>
        <w:rPr>
          <w:color w:val="1F4E79"/>
        </w:rPr>
        <w:t xml:space="preserve"> [15,22]</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20"/>
              <w:left w:type="dxa" w:w="160"/>
              <w:bottom w:type="dxa" w:w="120"/>
              <w:right w:type="dxa" w:w="160"/>
            </w:tcMar>
          </w:tcPr>
          <w:p>
            <w:pPr>
              <w:spacing w:after="60"/>
            </w:pPr>
            <w:r>
              <w:rPr>
                <w:b/>
                <w:bCs/>
                <w:color w:val="1F4E79"/>
              </w:rPr>
              <w:t xml:space="preserve">Perla para el anestesiólogo</w:t>
            </w:r>
          </w:p>
          <w:p>
            <w:pPr>
              <w:jc w:val="both"/>
            </w:pPr>
            <w:r>
              <w:t xml:space="preserve">La fuerza de las extremidades inferiores es la que permite levantarse de la cama y deambular el día 1: es la base de la movilización precoz.</w:t>
            </w:r>
          </w:p>
        </w:tc>
      </w:tr>
    </w:tbl>
    <w:p>
      <w:pPr>
        <w:spacing w:after="60"/>
      </w:pPr>
    </w:p>
    <w:p>
      <w:pPr>
        <w:pStyle w:val="Heading2"/>
      </w:pPr>
      <w:r>
        <w:t xml:space="preserve">Actividad práctica en la rotación</w:t>
      </w:r>
    </w:p>
    <w:p>
      <w:pPr>
        <w:spacing w:after="120" w:line="276"/>
        <w:jc w:val="both"/>
      </w:pPr>
      <w:r>
        <w:t xml:space="preserve">Participar en 2 sesiones de ejercicio supervisado de fuerza y diseñar con el kinesiólogo una rutina domiciliaria con bandas elásticas para un paciente.</w:t>
      </w:r>
    </w:p>
    <w:p>
      <w:pPr>
        <w:pStyle w:val="Heading3"/>
      </w:pPr>
      <w:r>
        <w:t xml:space="preserve">Desempeño esperado (estándar ideal)</w:t>
      </w:r>
    </w:p>
    <w:p>
      <w:pPr>
        <w:pStyle w:val="ListParagraph"/>
        <w:numPr>
          <w:ilvl w:val="0"/>
          <w:numId w:val="3"/>
        </w:numPr>
        <w:spacing w:after="60" w:line="264"/>
      </w:pPr>
      <w:r>
        <w:t xml:space="preserve">La rutina incluye 6–8 ejercicios de grandes grupos musculares con énfasis en extremidades inferiores.</w:t>
      </w:r>
    </w:p>
    <w:p>
      <w:pPr>
        <w:pStyle w:val="ListParagraph"/>
        <w:numPr>
          <w:ilvl w:val="0"/>
          <w:numId w:val="3"/>
        </w:numPr>
        <w:spacing w:after="60" w:line="264"/>
      </w:pPr>
      <w:r>
        <w:t xml:space="preserve">Especifica frecuencia, series, repeticiones, intensidad (color de banda o esfuerzo percibido) y criterio de progresión.</w:t>
      </w:r>
    </w:p>
    <w:p>
      <w:pPr>
        <w:pStyle w:val="ListParagraph"/>
        <w:numPr>
          <w:ilvl w:val="0"/>
          <w:numId w:val="3"/>
        </w:numPr>
        <w:spacing w:after="60" w:line="264"/>
      </w:pPr>
      <w:r>
        <w:t xml:space="preserve">Incluye instrucciones de seguridad (respiración, síntomas de alarma, cuándo detenerse) y un registro de adherencia.</w:t>
      </w:r>
    </w:p>
    <w:p>
      <w:pPr>
        <w:pStyle w:val="ListParagraph"/>
        <w:numPr>
          <w:ilvl w:val="0"/>
          <w:numId w:val="3"/>
        </w:numPr>
        <w:spacing w:after="60" w:line="264"/>
      </w:pPr>
      <w:r>
        <w:t xml:space="preserve">Considera las comorbilidades y restricciones del paciente y coordina el aporte proteico con nutrición.</w:t>
      </w:r>
    </w:p>
    <w:p>
      <w:pPr>
        <w:pStyle w:val="Heading2"/>
      </w:pPr>
      <w:r>
        <w:t xml:space="preserve">Preguntas para la discusión</w:t>
      </w:r>
    </w:p>
    <w:p>
      <w:pPr>
        <w:pStyle w:val="Heading3"/>
      </w:pPr>
      <w:r>
        <w:t xml:space="preserve">Pregunta 1. ¿Por qué un programa solo aeróbico puede ser insuficiente en el adulto mayor sarcopénico?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color="auto" w:val="clear"/>
            <w:tcMar>
              <w:top w:type="dxa" w:w="120"/>
              <w:left w:type="dxa" w:w="160"/>
              <w:bottom w:type="dxa" w:w="120"/>
              <w:right w:type="dxa" w:w="160"/>
            </w:tcMar>
          </w:tcPr>
          <w:p>
            <w:pPr>
              <w:spacing w:after="60"/>
            </w:pPr>
            <w:r>
              <w:rPr>
                <w:b/>
                <w:bCs/>
                <w:color w:val="1F4E79"/>
              </w:rPr>
              <w:t xml:space="preserve">Respuesta modelo</w:t>
            </w:r>
          </w:p>
          <w:p>
            <w:pPr>
              <w:jc w:val="both"/>
            </w:pPr>
            <w:r>
              <w:t xml:space="preserve">Porque el problema central del paciente sarcopénico es la baja masa y fuerza muscular, y el estímulo aeróbico tiene poco efecto sobre ellas. La fuerza de las extremidades inferiores determina la capacidad de realizar transferencias, caminar y mantener la independencia, y su déficit se asocia a más complicaciones</w:t>
            </w:r>
            <w:r>
              <w:rPr>
                <w:color w:val="1F4E79"/>
              </w:rPr>
              <w:t xml:space="preserve"> [40,61]</w:t>
            </w:r>
            <w:r>
              <w:t xml:space="preserve">. Además, el paciente muy débil puede no lograr la intensidad aeróbica necesaria hasta mejorar su fuerza. Por eso las guías recomiendan programas multicomponente con ejercicio de fuerza progresivo como base del tratamiento de la fragilidad física, junto con un aporte proteico adecuado</w:t>
            </w:r>
            <w:r>
              <w:rPr>
                <w:color w:val="1F4E79"/>
              </w:rPr>
              <w:t xml:space="preserve"> [6,62,63]</w:t>
            </w:r>
            <w:r>
              <w:t xml:space="preserve">.</w:t>
            </w:r>
          </w:p>
        </w:tc>
      </w:tr>
    </w:tbl>
    <w:p>
      <w:pPr>
        <w:spacing w:after="60"/>
      </w:pPr>
    </w:p>
    <w:p>
      <w:pPr>
        <w:spacing w:after="120" w:line="276"/>
        <w:jc w:val="left"/>
      </w:pPr>
      <w:r>
        <w:rPr>
          <w:b/>
          <w:bCs/>
        </w:rPr>
        <w:t xml:space="preserve">Elementos esenciales (para evaluar):</w:t>
      </w:r>
    </w:p>
    <w:p>
      <w:pPr>
        <w:pStyle w:val="ListParagraph"/>
        <w:numPr>
          <w:ilvl w:val="0"/>
          <w:numId w:val="3"/>
        </w:numPr>
        <w:spacing w:after="60" w:line="264"/>
      </w:pPr>
      <w:r>
        <w:t xml:space="preserve">Identifica la baja masa y fuerza como el déficit a tratar.</w:t>
      </w:r>
    </w:p>
    <w:p>
      <w:pPr>
        <w:pStyle w:val="ListParagraph"/>
        <w:numPr>
          <w:ilvl w:val="0"/>
          <w:numId w:val="3"/>
        </w:numPr>
        <w:spacing w:after="60" w:line="264"/>
      </w:pPr>
      <w:r>
        <w:t xml:space="preserve">Relaciona la fuerza con la función y la independencia.</w:t>
      </w:r>
    </w:p>
    <w:p>
      <w:pPr>
        <w:pStyle w:val="ListParagraph"/>
        <w:numPr>
          <w:ilvl w:val="0"/>
          <w:numId w:val="3"/>
        </w:numPr>
        <w:spacing w:after="60" w:line="264"/>
      </w:pPr>
      <w:r>
        <w:t xml:space="preserve">Propone un programa combinado (fuerza + aeróbico) con apoyo nutricional.</w:t>
      </w:r>
    </w:p>
    <w:p>
      <w:pPr>
        <w:spacing w:after="120" w:line="276"/>
        <w:jc w:val="left"/>
      </w:pPr>
      <w:r>
        <w:rPr>
          <w:b/>
          <w:bCs/>
        </w:rPr>
        <w:t xml:space="preserve">Elementos que distinguen una respuesta excelente:</w:t>
      </w:r>
    </w:p>
    <w:p>
      <w:pPr>
        <w:pStyle w:val="ListParagraph"/>
        <w:numPr>
          <w:ilvl w:val="0"/>
          <w:numId w:val="3"/>
        </w:numPr>
        <w:spacing w:after="60" w:line="264"/>
      </w:pPr>
      <w:r>
        <w:t xml:space="preserve">Cita evidencia sobre sarcopenia y complicaciones.</w:t>
      </w:r>
    </w:p>
    <w:p>
      <w:pPr>
        <w:pStyle w:val="ListParagraph"/>
        <w:numPr>
          <w:ilvl w:val="0"/>
          <w:numId w:val="3"/>
        </w:numPr>
        <w:spacing w:after="60" w:line="264"/>
      </w:pPr>
      <w:r>
        <w:t xml:space="preserve">Menciona las recomendaciones de fragilidad (ICFSR).</w:t>
      </w:r>
    </w:p>
    <w:p>
      <w:pPr>
        <w:spacing w:after="60"/>
      </w:pPr>
    </w:p>
    <w:p>
      <w:pPr>
        <w:pStyle w:val="Heading3"/>
      </w:pPr>
      <w:r>
        <w:t xml:space="preserve">Pregunta 2. ¿Qué precauciones de ejercicio de fuerza considera en el paciente cardiópata o con metástasis óseas?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color="auto" w:val="clear"/>
            <w:tcMar>
              <w:top w:type="dxa" w:w="120"/>
              <w:left w:type="dxa" w:w="160"/>
              <w:bottom w:type="dxa" w:w="120"/>
              <w:right w:type="dxa" w:w="160"/>
            </w:tcMar>
          </w:tcPr>
          <w:p>
            <w:pPr>
              <w:spacing w:after="60"/>
            </w:pPr>
            <w:r>
              <w:rPr>
                <w:b/>
                <w:bCs/>
                <w:color w:val="1F4E79"/>
              </w:rPr>
              <w:t xml:space="preserve">Respuesta modelo</w:t>
            </w:r>
          </w:p>
          <w:p>
            <w:pPr>
              <w:jc w:val="both"/>
            </w:pPr>
            <w:r>
              <w:t xml:space="preserve">Paciente cardiópata: el entrenamiento de fuerza es seguro en pacientes con enfermedad cardiovascular estable</w:t>
            </w:r>
            <w:r>
              <w:rPr>
                <w:color w:val="1F4E79"/>
              </w:rPr>
              <w:t xml:space="preserve"> [64]</w:t>
            </w:r>
            <w:r>
              <w:t xml:space="preserve">. Antes de iniciarlo se deben descartar contraindicaciones como enfermedad coronaria inestable, insuficiencia cardiaca descompensada, arritmias no controladas, estenosis aórtica severa sintomática e hipertensión no controlada</w:t>
            </w:r>
            <w:r>
              <w:rPr>
                <w:color w:val="1F4E79"/>
              </w:rPr>
              <w:t xml:space="preserve"> [54,64]</w:t>
            </w:r>
            <w:r>
              <w:t xml:space="preserve">. Se recomienda iniciar con cargas bajas (aproximadamente 30–40 % de 1RM en extremidades superiores y 50–60 % en inferiores), con más repeticiones y menos carga, evitar la maniobra de Valsalva, monitorizar la presión arterial y los síntomas, y usar la escala de Borg en pacientes con betabloqueadores</w:t>
            </w:r>
            <w:r>
              <w:rPr>
                <w:color w:val="1F4E79"/>
              </w:rPr>
              <w:t xml:space="preserve"> [55,64]</w:t>
            </w:r>
            <w:r>
              <w:t xml:space="preserve">. Paciente con metástasis óseas: el ejercicio es posible y seguro con un programa adaptado; un ensayo con un programa modular que evitaba cargar las zonas con lesiones mejoró la función física sin eventos esqueléticos</w:t>
            </w:r>
            <w:r>
              <w:rPr>
                <w:color w:val="1F4E79"/>
              </w:rPr>
              <w:t xml:space="preserve"> [65]</w:t>
            </w:r>
            <w:r>
              <w:t xml:space="preserve">. Se debe conocer la ubicación y el riesgo de fractura de las lesiones (coordinar con oncología y traumatología), evitar cargas directas e impactos sobre las zonas afectadas y, en lesiones de columna, evitar la flexión y la rotación con carga. Además, considerar la anemia, la trombocitopenia, la neuropatía y el riesgo de caídas asociados a la quimioterapia</w:t>
            </w:r>
            <w:r>
              <w:rPr>
                <w:color w:val="1F4E79"/>
              </w:rPr>
              <w:t xml:space="preserve"> [66]</w:t>
            </w:r>
            <w:r>
              <w:t xml:space="preserve">.</w:t>
            </w:r>
          </w:p>
        </w:tc>
      </w:tr>
    </w:tbl>
    <w:p>
      <w:pPr>
        <w:spacing w:after="60"/>
      </w:pPr>
    </w:p>
    <w:p>
      <w:pPr>
        <w:spacing w:after="120" w:line="276"/>
        <w:jc w:val="left"/>
      </w:pPr>
      <w:r>
        <w:rPr>
          <w:b/>
          <w:bCs/>
        </w:rPr>
        <w:t xml:space="preserve">Elementos esenciales (para evaluar):</w:t>
      </w:r>
    </w:p>
    <w:p>
      <w:pPr>
        <w:pStyle w:val="ListParagraph"/>
        <w:numPr>
          <w:ilvl w:val="0"/>
          <w:numId w:val="3"/>
        </w:numPr>
        <w:spacing w:after="60" w:line="264"/>
      </w:pPr>
      <w:r>
        <w:t xml:space="preserve">Cardiópata: descarta contraindicaciones, evita Valsalva, inicia con cargas bajas y monitoriza.</w:t>
      </w:r>
    </w:p>
    <w:p>
      <w:pPr>
        <w:pStyle w:val="ListParagraph"/>
        <w:numPr>
          <w:ilvl w:val="0"/>
          <w:numId w:val="3"/>
        </w:numPr>
        <w:spacing w:after="60" w:line="264"/>
      </w:pPr>
      <w:r>
        <w:t xml:space="preserve">Metástasis: conoce la localización y el riesgo de fractura y adapta el programa evitando cargar las lesiones.</w:t>
      </w:r>
    </w:p>
    <w:p>
      <w:pPr>
        <w:pStyle w:val="ListParagraph"/>
        <w:numPr>
          <w:ilvl w:val="0"/>
          <w:numId w:val="3"/>
        </w:numPr>
        <w:spacing w:after="60" w:line="264"/>
      </w:pPr>
      <w:r>
        <w:t xml:space="preserve">Afirma que el ejercicio no está contraindicado en forma absoluta en ninguno de los dos grupos.</w:t>
      </w:r>
    </w:p>
    <w:p>
      <w:pPr>
        <w:spacing w:after="120" w:line="276"/>
        <w:jc w:val="left"/>
      </w:pPr>
      <w:r>
        <w:rPr>
          <w:b/>
          <w:bCs/>
        </w:rPr>
        <w:t xml:space="preserve">Elementos que distinguen una respuesta excelente:</w:t>
      </w:r>
    </w:p>
    <w:p>
      <w:pPr>
        <w:pStyle w:val="ListParagraph"/>
        <w:numPr>
          <w:ilvl w:val="0"/>
          <w:numId w:val="3"/>
        </w:numPr>
        <w:spacing w:after="60" w:line="264"/>
      </w:pPr>
      <w:r>
        <w:t xml:space="preserve">Usa Borg en pacientes betabloqueados.</w:t>
      </w:r>
    </w:p>
    <w:p>
      <w:pPr>
        <w:pStyle w:val="ListParagraph"/>
        <w:numPr>
          <w:ilvl w:val="0"/>
          <w:numId w:val="3"/>
        </w:numPr>
        <w:spacing w:after="60" w:line="264"/>
      </w:pPr>
      <w:r>
        <w:t xml:space="preserve">Menciona los efectos adversos de la quimioterapia.</w:t>
      </w:r>
    </w:p>
    <w:p>
      <w:pPr>
        <w:spacing w:after="60"/>
      </w:pPr>
    </w:p>
    <w:p>
      <w:pPr>
        <w:pStyle w:val="Heading1"/>
        <w:pageBreakBefore/>
      </w:pPr>
      <w:r>
        <w:t xml:space="preserve">5. Rehabilitación respiratoria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color="auto" w:val="clear"/>
            <w:tcMar>
              <w:top w:type="dxa" w:w="120"/>
              <w:left w:type="dxa" w:w="160"/>
              <w:bottom w:type="dxa" w:w="120"/>
              <w:right w:type="dxa" w:w="160"/>
            </w:tcMar>
          </w:tcPr>
          <w:p>
            <w:pPr>
              <w:spacing w:after="60"/>
            </w:pPr>
            <w:r>
              <w:rPr>
                <w:b/>
                <w:bCs/>
                <w:color w:val="1F4E79"/>
              </w:rPr>
              <w:t xml:space="preserve">Objetivo docente</w:t>
            </w:r>
          </w:p>
          <w:p>
            <w:pPr>
              <w:jc w:val="both"/>
            </w:pPr>
            <w:r>
              <w:t xml:space="preserve">Que el residente estime el riesgo de complicaciones pulmonares postoperatorias (CPP) e indique estrategias de rehabilitación respiratoria pre y postoperatorias.</w:t>
            </w:r>
          </w:p>
        </w:tc>
      </w:tr>
    </w:tbl>
    <w:p>
      <w:pPr>
        <w:spacing w:after="60"/>
      </w:pPr>
    </w:p>
    <w:p>
      <w:pPr>
        <w:pStyle w:val="Heading2"/>
      </w:pPr>
      <w:r>
        <w:t xml:space="preserve">Desarrollo</w:t>
      </w:r>
    </w:p>
    <w:p>
      <w:pPr>
        <w:pStyle w:val="Heading3"/>
      </w:pPr>
      <w:r>
        <w:t xml:space="preserve">5.1 Complicaciones pulmonares postoperatorias</w:t>
      </w:r>
    </w:p>
    <w:p>
      <w:pPr>
        <w:spacing w:after="120" w:line="276"/>
        <w:jc w:val="both"/>
      </w:pPr>
      <w:r>
        <w:t xml:space="preserve">Las CPP (atelectasia, neumonía, insuficiencia respiratoria, broncoespasmo, derrame pleural, necesidad prolongada de oxígeno) son frecuentes y graves. En un estudio multicéntrico de cirugía no cardiotorácica, un 33,4 % de los pacientes presentó al menos una CPP, y aun las leves se asociaron a mayor mortalidad precoz, ingreso a UCI y estadía</w:t>
      </w:r>
      <w:r>
        <w:rPr>
          <w:color w:val="1F4E79"/>
        </w:rPr>
        <w:t xml:space="preserve"> [67]</w:t>
      </w:r>
      <w:r>
        <w:t xml:space="preserve">. Su fisiopatología incluye la disminución de la capacidad residual funcional por la anestesia y la disfunción diafragmática, la atelectasia, la alteración del aclaramiento mucociliar y la tos ineficaz por dolor</w:t>
      </w:r>
      <w:r>
        <w:rPr>
          <w:color w:val="1F4E79"/>
        </w:rPr>
        <w:t xml:space="preserve"> [68]</w:t>
      </w:r>
      <w:r>
        <w:t xml:space="preserve">.</w:t>
      </w:r>
    </w:p>
    <w:p>
      <w:pPr>
        <w:pStyle w:val="Heading3"/>
      </w:pPr>
      <w:r>
        <w:t xml:space="preserve">5.2 Estimación del riesgo: ARISCAT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Variable</w:t>
            </w:r>
            <w:r>
              <w:rPr>
                <w:b/>
                <w:bCs/>
                <w:color w:val="1F4E79"/>
                <w:sz w:val="18"/>
                <w:szCs w:val="18"/>
              </w:rPr>
              <w:t xml:space="preserve"> [69]</w:t>
            </w:r>
          </w:p>
        </w:tc>
        <w:tc>
          <w:tcPr>
            <w:tcW w:type="dxa" w:w="23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Categoría</w:t>
            </w:r>
          </w:p>
        </w:tc>
        <w:tc>
          <w:tcPr>
            <w:tcW w:type="dxa" w:w="23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Puntos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Edad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51–80 años / &gt; 80 años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3 / 16</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SpO2 preoperatoria</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91–95 % / ≤ 90 %</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8 / 24</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Infección respiratoria en el último mes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Sí</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17</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Anemia preoperatoria (Hb ≤ 10 g/dL)</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Sí</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11</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Incisión quirúrgica</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Abdominal alta / intratorácica</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15 / 24</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Duración de la cirugía</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2–3 h / &gt; 3 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16 / 23</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Cirugía de urgencia</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Sí</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8</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Riesgo</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Bajo &lt; 26 · intermedio 26–44 · alto ≥ 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r>
    </w:tbl>
    <w:p>
      <w:pPr>
        <w:spacing w:after="60"/>
      </w:pPr>
    </w:p>
    <w:p>
      <w:pPr>
        <w:spacing w:after="120" w:line="276"/>
        <w:jc w:val="both"/>
      </w:pPr>
      <w:r>
        <w:t xml:space="preserve">El score ARISCAT fue derivado en una cohorte poblacional</w:t>
      </w:r>
      <w:r>
        <w:rPr>
          <w:color w:val="1F4E79"/>
        </w:rPr>
        <w:t xml:space="preserve"> [69]</w:t>
      </w:r>
      <w:r>
        <w:t xml:space="preserve"> y validado externamente en una cohorte europea</w:t>
      </w:r>
      <w:r>
        <w:rPr>
          <w:color w:val="1F4E79"/>
        </w:rPr>
        <w:t xml:space="preserve"> [70]</w:t>
      </w:r>
      <w:r>
        <w:t xml:space="preserve">.</w:t>
      </w:r>
    </w:p>
    <w:p>
      <w:pPr>
        <w:pStyle w:val="Heading3"/>
      </w:pPr>
      <w:r>
        <w:t xml:space="preserve">5.3 Intervenciones preoperatorias</w:t>
      </w:r>
    </w:p>
    <w:p>
      <w:pPr>
        <w:pStyle w:val="ListParagraph"/>
        <w:numPr>
          <w:ilvl w:val="0"/>
          <w:numId w:val="2"/>
        </w:numPr>
        <w:spacing w:after="60" w:line="264"/>
      </w:pPr>
      <w:r>
        <w:t xml:space="preserve">Entrenamiento muscular inspiratorio (IMT): en la revisión Cochrane de 12 ECA en cirugía cardiaca y abdominal mayor, el IMT preoperatorio redujo la atelectasia (RR 0,53), la neumonía (RR 0,45) y la estadía (−1,33 días)</w:t>
      </w:r>
      <w:r>
        <w:rPr>
          <w:color w:val="1F4E79"/>
        </w:rPr>
        <w:t xml:space="preserve"> [71]</w:t>
      </w:r>
      <w:r>
        <w:t xml:space="preserve">. En pacientes de alto riesgo sometidos a revascularización miocárdica, un IMT diario de al menos 2 semanas, iniciado con una carga del 30 % de la PImax y progresivo, redujo las CPP</w:t>
      </w:r>
      <w:r>
        <w:rPr>
          <w:color w:val="1F4E79"/>
        </w:rPr>
        <w:t xml:space="preserve"> [72]</w:t>
      </w:r>
      <w:r>
        <w:t xml:space="preserve">.</w:t>
      </w:r>
    </w:p>
    <w:p>
      <w:pPr>
        <w:pStyle w:val="ListParagraph"/>
        <w:numPr>
          <w:ilvl w:val="0"/>
          <w:numId w:val="2"/>
        </w:numPr>
        <w:spacing w:after="60" w:line="264"/>
      </w:pPr>
      <w:r>
        <w:t xml:space="preserve">Educación y entrenamiento preoperatorio: en el ensayo LIPPSMAck POP, una sola sesión de kinesiología preoperatoria (educación y entrenamiento en ejercicios respiratorios para realizar inmediatamente al despertar) redujo aproximadamente a la mitad las CPP tras cirugía abdominal alta</w:t>
      </w:r>
      <w:r>
        <w:rPr>
          <w:color w:val="1F4E79"/>
        </w:rPr>
        <w:t xml:space="preserve"> [73]</w:t>
      </w:r>
      <w:r>
        <w:t xml:space="preserve">.</w:t>
      </w:r>
    </w:p>
    <w:p>
      <w:pPr>
        <w:pStyle w:val="ListParagraph"/>
        <w:numPr>
          <w:ilvl w:val="0"/>
          <w:numId w:val="2"/>
        </w:numPr>
        <w:spacing w:after="60" w:line="264"/>
      </w:pPr>
      <w:r>
        <w:t xml:space="preserve">Ejercicio aeróbico preoperatorio: en cáncer pulmonar mejora la capacidad de ejercicio y puede reducir las complicaciones y la estadía</w:t>
      </w:r>
      <w:r>
        <w:rPr>
          <w:color w:val="1F4E79"/>
        </w:rPr>
        <w:t xml:space="preserve"> [74]</w:t>
      </w:r>
      <w:r>
        <w:t xml:space="preserve">; las guías ERAS de cirugía torácica y cardiaca lo incorporan</w:t>
      </w:r>
      <w:r>
        <w:rPr>
          <w:color w:val="1F4E79"/>
        </w:rPr>
        <w:t xml:space="preserve"> [75,76]</w:t>
      </w:r>
      <w:r>
        <w:t xml:space="preserve">.</w:t>
      </w:r>
    </w:p>
    <w:p>
      <w:pPr>
        <w:pStyle w:val="ListParagraph"/>
        <w:numPr>
          <w:ilvl w:val="0"/>
          <w:numId w:val="2"/>
        </w:numPr>
        <w:spacing w:after="60" w:line="264"/>
      </w:pPr>
      <w:r>
        <w:t xml:space="preserve">Cesación tabáquica y optimización de la enfermedad pulmonar crónica</w:t>
      </w:r>
      <w:r>
        <w:rPr>
          <w:color w:val="1F4E79"/>
        </w:rPr>
        <w:t xml:space="preserve"> [9]</w:t>
      </w:r>
      <w:r>
        <w:t xml:space="preserve">.</w:t>
      </w:r>
    </w:p>
    <w:p>
      <w:pPr>
        <w:spacing w:after="60"/>
      </w:pPr>
    </w:p>
    <w:p>
      <w:pPr>
        <w:pStyle w:val="Heading3"/>
      </w:pPr>
      <w:r>
        <w:t xml:space="preserve">5.4 Intervenciones postoperatorias</w:t>
      </w:r>
    </w:p>
    <w:p>
      <w:pPr>
        <w:spacing w:after="120" w:line="276"/>
        <w:jc w:val="both"/>
      </w:pPr>
      <w:r>
        <w:t xml:space="preserve">Ejercicios de expansión pulmonar y respiración profunda, inspirometría incentiva como complemento, tos asistida con protección de la herida, posición semisentada, oxigenoterapia ajustada a metas y, sobre todo, movilización precoz</w:t>
      </w:r>
      <w:r>
        <w:rPr>
          <w:color w:val="1F4E79"/>
        </w:rPr>
        <w:t xml:space="preserve"> [68]</w:t>
      </w:r>
      <w:r>
        <w:t xml:space="preserve">.</w:t>
      </w:r>
    </w:p>
    <w:p>
      <w:pPr>
        <w:pStyle w:val="Heading3"/>
      </w:pPr>
      <w:r>
        <w:t xml:space="preserve">5.5 Factores anestésicos modificables</w:t>
      </w:r>
    </w:p>
    <w:p>
      <w:pPr>
        <w:pStyle w:val="ListParagraph"/>
        <w:numPr>
          <w:ilvl w:val="0"/>
          <w:numId w:val="2"/>
        </w:numPr>
        <w:spacing w:after="60" w:line="264"/>
      </w:pPr>
      <w:r>
        <w:t xml:space="preserve">Ventilación protectora: volumen corriente de 6–8 mL/kg de peso ideal, PEEP individualizada y maniobras de reclutamiento cuando estén indicadas</w:t>
      </w:r>
      <w:r>
        <w:rPr>
          <w:color w:val="1F4E79"/>
        </w:rPr>
        <w:t xml:space="preserve"> [56]</w:t>
      </w:r>
      <w:r>
        <w:t xml:space="preserve">.</w:t>
      </w:r>
    </w:p>
    <w:p>
      <w:pPr>
        <w:pStyle w:val="ListParagraph"/>
        <w:numPr>
          <w:ilvl w:val="0"/>
          <w:numId w:val="2"/>
        </w:numPr>
        <w:spacing w:after="60" w:line="264"/>
      </w:pPr>
      <w:r>
        <w:t xml:space="preserve">Bloqueo neuromuscular: su uso se asocia a mayor riesgo de CPP; se debe monitorizar cuantitativamente y asegurar la reversión completa antes de la extubación</w:t>
      </w:r>
      <w:r>
        <w:rPr>
          <w:color w:val="1F4E79"/>
        </w:rPr>
        <w:t xml:space="preserve"> [77]</w:t>
      </w:r>
      <w:r>
        <w:t xml:space="preserve">.</w:t>
      </w:r>
    </w:p>
    <w:p>
      <w:pPr>
        <w:pStyle w:val="ListParagraph"/>
        <w:numPr>
          <w:ilvl w:val="0"/>
          <w:numId w:val="2"/>
        </w:numPr>
        <w:spacing w:after="60" w:line="264"/>
      </w:pPr>
      <w:r>
        <w:t xml:space="preserve">Analgesia: la analgesia epidural redujo la neumonía (OR 0,54) en cirugía abdominal y torácica</w:t>
      </w:r>
      <w:r>
        <w:rPr>
          <w:color w:val="1F4E79"/>
        </w:rPr>
        <w:t xml:space="preserve"> [57]</w:t>
      </w:r>
      <w:r>
        <w:t xml:space="preserve">; en cirugía torácica, el bloqueo paravertebral es una alternativa</w:t>
      </w:r>
      <w:r>
        <w:rPr>
          <w:color w:val="1F4E79"/>
        </w:rPr>
        <w:t xml:space="preserve"> [75]</w:t>
      </w:r>
      <w:r>
        <w:t xml:space="preserve">. La meta es una analgesia que permita respirar profundo, toser y movilizarse con mínima sedación.</w:t>
      </w:r>
    </w:p>
    <w:p>
      <w:pPr>
        <w:pStyle w:val="ListParagraph"/>
        <w:numPr>
          <w:ilvl w:val="0"/>
          <w:numId w:val="2"/>
        </w:numPr>
        <w:spacing w:after="60" w:line="264"/>
      </w:pPr>
      <w:r>
        <w:t xml:space="preserve">Otros: evitar la sobrecarga de fluidos, minimizar sondas nasogástricas y sedantes, y profilaxis de NVPO.</w:t>
      </w: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20"/>
              <w:left w:type="dxa" w:w="160"/>
              <w:bottom w:type="dxa" w:w="120"/>
              <w:right w:type="dxa" w:w="160"/>
            </w:tcMar>
          </w:tcPr>
          <w:p>
            <w:pPr>
              <w:spacing w:after="60"/>
            </w:pPr>
            <w:r>
              <w:rPr>
                <w:b/>
                <w:bCs/>
                <w:color w:val="1F4E79"/>
              </w:rPr>
              <w:t xml:space="preserve">Perla para el anestesiólogo</w:t>
            </w:r>
          </w:p>
          <w:p>
            <w:pPr>
              <w:jc w:val="both"/>
            </w:pPr>
            <w:r>
              <w:t xml:space="preserve">El mejor «ejercicio respiratorio» del postoperatorio es sacar al paciente de la cama; una buena analgesia es la condición para lograrlo.</w:t>
            </w:r>
          </w:p>
        </w:tc>
      </w:tr>
    </w:tbl>
    <w:p>
      <w:pPr>
        <w:spacing w:after="60"/>
      </w:pPr>
    </w:p>
    <w:p>
      <w:pPr>
        <w:pStyle w:val="Heading2"/>
      </w:pPr>
      <w:r>
        <w:t xml:space="preserve">Actividad práctica en la rotación</w:t>
      </w:r>
    </w:p>
    <w:p>
      <w:pPr>
        <w:spacing w:after="120" w:line="276"/>
        <w:jc w:val="both"/>
      </w:pPr>
      <w:r>
        <w:t xml:space="preserve">Calcular el ARISCAT de todos los pacientes evaluados; medir la PImax y supervisar una sesión de IMT; acompañar la primera sesión de kinesiterapia respiratoria postoperatoria.</w:t>
      </w:r>
    </w:p>
    <w:p>
      <w:pPr>
        <w:pStyle w:val="Heading3"/>
      </w:pPr>
      <w:r>
        <w:t xml:space="preserve">Desempeño esperado (estándar ideal)</w:t>
      </w:r>
    </w:p>
    <w:p>
      <w:pPr>
        <w:pStyle w:val="ListParagraph"/>
        <w:numPr>
          <w:ilvl w:val="0"/>
          <w:numId w:val="3"/>
        </w:numPr>
        <w:spacing w:after="60" w:line="264"/>
      </w:pPr>
      <w:r>
        <w:t xml:space="preserve">Calcula correctamente el ARISCAT y distingue los factores modificables de los no modificables.</w:t>
      </w:r>
    </w:p>
    <w:p>
      <w:pPr>
        <w:pStyle w:val="ListParagraph"/>
        <w:numPr>
          <w:ilvl w:val="0"/>
          <w:numId w:val="3"/>
        </w:numPr>
        <w:spacing w:after="60" w:line="264"/>
      </w:pPr>
      <w:r>
        <w:t xml:space="preserve">Mide la PImax con técnica correcta (desde volumen residual, mejor de al menos 3 maniobras reproducibles) y la compara con el valor predicho.</w:t>
      </w:r>
    </w:p>
    <w:p>
      <w:pPr>
        <w:pStyle w:val="ListParagraph"/>
        <w:numPr>
          <w:ilvl w:val="0"/>
          <w:numId w:val="3"/>
        </w:numPr>
        <w:spacing w:after="60" w:line="264"/>
      </w:pPr>
      <w:r>
        <w:t xml:space="preserve">Prescribe el IMT con parámetros explícitos (carga inicial ≈ 30 % PImax, frecuencia, duración, progresión).</w:t>
      </w:r>
    </w:p>
    <w:p>
      <w:pPr>
        <w:pStyle w:val="ListParagraph"/>
        <w:numPr>
          <w:ilvl w:val="0"/>
          <w:numId w:val="3"/>
        </w:numPr>
        <w:spacing w:after="60" w:line="264"/>
      </w:pPr>
      <w:r>
        <w:t xml:space="preserve">En el postoperatorio, identifica las barreras para la kinesiterapia respiratoria (dolor, sedación, NVPO) y propone soluciones.</w:t>
      </w:r>
    </w:p>
    <w:p>
      <w:pPr>
        <w:pStyle w:val="Heading2"/>
      </w:pPr>
      <w:r>
        <w:t xml:space="preserve">Preguntas para la discusión</w:t>
      </w:r>
    </w:p>
    <w:p>
      <w:pPr>
        <w:pStyle w:val="Heading3"/>
      </w:pPr>
      <w:r>
        <w:t xml:space="preserve">Pregunta 1. ¿Qué factores del ARISCAT son modificables por el anestesiólogo?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color="auto" w:val="clear"/>
            <w:tcMar>
              <w:top w:type="dxa" w:w="120"/>
              <w:left w:type="dxa" w:w="160"/>
              <w:bottom w:type="dxa" w:w="120"/>
              <w:right w:type="dxa" w:w="160"/>
            </w:tcMar>
          </w:tcPr>
          <w:p>
            <w:pPr>
              <w:spacing w:after="60"/>
            </w:pPr>
            <w:r>
              <w:rPr>
                <w:b/>
                <w:bCs/>
                <w:color w:val="1F4E79"/>
              </w:rPr>
              <w:t xml:space="preserve">Respuesta modelo</w:t>
            </w:r>
          </w:p>
          <w:p>
            <w:pPr>
              <w:jc w:val="both"/>
            </w:pPr>
            <w:r>
              <w:t xml:space="preserve">La edad y el carácter urgente de la cirugía no son modificables. Son modificables, total o parcialmente: (1) la anemia, que puede corregirse si se detecta con semanas de anticipación (hierro endovenoso, tratamiento de la causa)</w:t>
            </w:r>
            <w:r>
              <w:rPr>
                <w:color w:val="1F4E79"/>
              </w:rPr>
              <w:t xml:space="preserve"> [11]</w:t>
            </w:r>
            <w:r>
              <w:t xml:space="preserve">; (2) la infección respiratoria reciente, ante la cual se puede postergar la cirugía electiva hasta su resolución; (3) la SpO2 preoperatoria, que puede mejorar con la optimización de la EPOC, la insuficiencia cardiaca o el tratamiento de una infección; (4) la duración de la cirugía, en parte, mediante planificación y eficiencia del equipo; y (5) el tipo de incisión, cuando la vía mínimamente invasiva es factible, decisión que se discute con el cirujano</w:t>
            </w:r>
            <w:r>
              <w:rPr>
                <w:color w:val="1F4E79"/>
              </w:rPr>
              <w:t xml:space="preserve"> [68,69]</w:t>
            </w:r>
            <w:r>
              <w:t xml:space="preserve">. Además, el anestesiólogo controla factores que no están en el ARISCAT pero influyen en las CPP: ventilación protectora, bloqueo neuromuscular y su reversión, analgesia, fluidos y sondas</w:t>
            </w:r>
            <w:r>
              <w:rPr>
                <w:color w:val="1F4E79"/>
              </w:rPr>
              <w:t xml:space="preserve"> [56,57,77]</w:t>
            </w:r>
            <w:r>
              <w:t xml:space="preserve">.</w:t>
            </w:r>
          </w:p>
        </w:tc>
      </w:tr>
    </w:tbl>
    <w:p>
      <w:pPr>
        <w:spacing w:after="60"/>
      </w:pPr>
    </w:p>
    <w:p>
      <w:pPr>
        <w:spacing w:after="120" w:line="276"/>
        <w:jc w:val="left"/>
      </w:pPr>
      <w:r>
        <w:rPr>
          <w:b/>
          <w:bCs/>
        </w:rPr>
        <w:t xml:space="preserve">Elementos esenciales (para evaluar):</w:t>
      </w:r>
    </w:p>
    <w:p>
      <w:pPr>
        <w:pStyle w:val="ListParagraph"/>
        <w:numPr>
          <w:ilvl w:val="0"/>
          <w:numId w:val="3"/>
        </w:numPr>
        <w:spacing w:after="60" w:line="264"/>
      </w:pPr>
      <w:r>
        <w:t xml:space="preserve">Diferencia factores modificables y no modificables.</w:t>
      </w:r>
    </w:p>
    <w:p>
      <w:pPr>
        <w:pStyle w:val="ListParagraph"/>
        <w:numPr>
          <w:ilvl w:val="0"/>
          <w:numId w:val="3"/>
        </w:numPr>
        <w:spacing w:after="60" w:line="264"/>
      </w:pPr>
      <w:r>
        <w:t xml:space="preserve">Identifica la anemia, la infección reciente y la SpO2 como optimizables.</w:t>
      </w:r>
    </w:p>
    <w:p>
      <w:pPr>
        <w:pStyle w:val="ListParagraph"/>
        <w:numPr>
          <w:ilvl w:val="0"/>
          <w:numId w:val="3"/>
        </w:numPr>
        <w:spacing w:after="60" w:line="264"/>
      </w:pPr>
      <w:r>
        <w:t xml:space="preserve">Menciona factores intraoperatorios no incluidos en el score.</w:t>
      </w:r>
    </w:p>
    <w:p>
      <w:pPr>
        <w:spacing w:after="120" w:line="276"/>
        <w:jc w:val="left"/>
      </w:pPr>
      <w:r>
        <w:rPr>
          <w:b/>
          <w:bCs/>
        </w:rPr>
        <w:t xml:space="preserve">Elementos que distinguen una respuesta excelente:</w:t>
      </w:r>
    </w:p>
    <w:p>
      <w:pPr>
        <w:pStyle w:val="ListParagraph"/>
        <w:numPr>
          <w:ilvl w:val="0"/>
          <w:numId w:val="3"/>
        </w:numPr>
        <w:spacing w:after="60" w:line="264"/>
      </w:pPr>
      <w:r>
        <w:t xml:space="preserve">Menciona la discusión de la vía de abordaje con el cirujano.</w:t>
      </w:r>
    </w:p>
    <w:p>
      <w:pPr>
        <w:pStyle w:val="ListParagraph"/>
        <w:numPr>
          <w:ilvl w:val="0"/>
          <w:numId w:val="3"/>
        </w:numPr>
        <w:spacing w:after="60" w:line="264"/>
      </w:pPr>
      <w:r>
        <w:t xml:space="preserve">Cita la validación externa del ARISCAT.</w:t>
      </w:r>
    </w:p>
    <w:p>
      <w:pPr>
        <w:spacing w:after="60"/>
      </w:pPr>
    </w:p>
    <w:p>
      <w:pPr>
        <w:pStyle w:val="Heading3"/>
      </w:pPr>
      <w:r>
        <w:t xml:space="preserve">Pregunta 2. ¿Cómo influye el tipo de analgesia en la función respiratoria tras una toracotomía o una laparotomía supraumbilical?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color="auto" w:val="clear"/>
            <w:tcMar>
              <w:top w:type="dxa" w:w="120"/>
              <w:left w:type="dxa" w:w="160"/>
              <w:bottom w:type="dxa" w:w="120"/>
              <w:right w:type="dxa" w:w="160"/>
            </w:tcMar>
          </w:tcPr>
          <w:p>
            <w:pPr>
              <w:spacing w:after="60"/>
            </w:pPr>
            <w:r>
              <w:rPr>
                <w:b/>
                <w:bCs/>
                <w:color w:val="1F4E79"/>
              </w:rPr>
              <w:t xml:space="preserve">Respuesta modelo</w:t>
            </w:r>
          </w:p>
          <w:p>
            <w:pPr>
              <w:jc w:val="both"/>
            </w:pPr>
            <w:r>
              <w:t xml:space="preserve">Estas incisiones producen una caída marcada de la capacidad vital y de la capacidad residual funcional por dolor, limitación voluntaria de la respiración y disfunción diafragmática, lo que favorece la atelectasia y la tos ineficaz</w:t>
            </w:r>
            <w:r>
              <w:rPr>
                <w:color w:val="1F4E79"/>
              </w:rPr>
              <w:t xml:space="preserve"> [68]</w:t>
            </w:r>
            <w:r>
              <w:t xml:space="preserve">. Una analgesia basada solo en opioides sistémicos produce sedación, depresión respiratoria y supresión de la tos, y suele controlar mal el dolor dinámico. La analgesia regional controla mejor el dolor con la tos y la respiración profunda: la epidural redujo la neumonía postoperatoria (OR 0,54)</w:t>
            </w:r>
            <w:r>
              <w:rPr>
                <w:color w:val="1F4E79"/>
              </w:rPr>
              <w:t xml:space="preserve"> [57]</w:t>
            </w:r>
            <w:r>
              <w:t xml:space="preserve">, y en cirugía torácica el bloqueo paravertebral ofrece una analgesia comparable con menos efectos adversos</w:t>
            </w:r>
            <w:r>
              <w:rPr>
                <w:color w:val="1F4E79"/>
              </w:rPr>
              <w:t xml:space="preserve"> [75]</w:t>
            </w:r>
            <w:r>
              <w:t xml:space="preserve">. Se deben considerar sus riesgos: la hipotensión, el bloqueo motor y la retención urinaria pueden dificultar la movilización, por lo que se ajustan las concentraciones y se integra un esquema multimodal (paracetamol, AINE si no están contraindicados, adyuvantes)</w:t>
            </w:r>
            <w:r>
              <w:rPr>
                <w:color w:val="1F4E79"/>
              </w:rPr>
              <w:t xml:space="preserve"> [4]</w:t>
            </w:r>
            <w:r>
              <w:t xml:space="preserve">.</w:t>
            </w:r>
          </w:p>
        </w:tc>
      </w:tr>
    </w:tbl>
    <w:p>
      <w:pPr>
        <w:spacing w:after="60"/>
      </w:pPr>
    </w:p>
    <w:p>
      <w:pPr>
        <w:spacing w:after="120" w:line="276"/>
        <w:jc w:val="left"/>
      </w:pPr>
      <w:r>
        <w:rPr>
          <w:b/>
          <w:bCs/>
        </w:rPr>
        <w:t xml:space="preserve">Elementos esenciales (para evaluar):</w:t>
      </w:r>
    </w:p>
    <w:p>
      <w:pPr>
        <w:pStyle w:val="ListParagraph"/>
        <w:numPr>
          <w:ilvl w:val="0"/>
          <w:numId w:val="3"/>
        </w:numPr>
        <w:spacing w:after="60" w:line="264"/>
      </w:pPr>
      <w:r>
        <w:t xml:space="preserve">Explica la fisiopatología (dolor, restricción, disfunción diafragmática).</w:t>
      </w:r>
    </w:p>
    <w:p>
      <w:pPr>
        <w:pStyle w:val="ListParagraph"/>
        <w:numPr>
          <w:ilvl w:val="0"/>
          <w:numId w:val="3"/>
        </w:numPr>
        <w:spacing w:after="60" w:line="264"/>
      </w:pPr>
      <w:r>
        <w:t xml:space="preserve">Compara la analgesia sistémica con opioides vs. la regional.</w:t>
      </w:r>
    </w:p>
    <w:p>
      <w:pPr>
        <w:pStyle w:val="ListParagraph"/>
        <w:numPr>
          <w:ilvl w:val="0"/>
          <w:numId w:val="3"/>
        </w:numPr>
        <w:spacing w:after="60" w:line="264"/>
      </w:pPr>
      <w:r>
        <w:t xml:space="preserve">Cita evidencia de reducción de neumonía con analgesia regional.</w:t>
      </w:r>
    </w:p>
    <w:p>
      <w:pPr>
        <w:pStyle w:val="ListParagraph"/>
        <w:numPr>
          <w:ilvl w:val="0"/>
          <w:numId w:val="3"/>
        </w:numPr>
        <w:spacing w:after="60" w:line="264"/>
      </w:pPr>
      <w:r>
        <w:t xml:space="preserve">Considera los efectos adversos que interfieren con la movilización.</w:t>
      </w:r>
    </w:p>
    <w:p>
      <w:pPr>
        <w:spacing w:after="120" w:line="276"/>
        <w:jc w:val="left"/>
      </w:pPr>
      <w:r>
        <w:rPr>
          <w:b/>
          <w:bCs/>
        </w:rPr>
        <w:t xml:space="preserve">Elementos que distinguen una respuesta excelente:</w:t>
      </w:r>
    </w:p>
    <w:p>
      <w:pPr>
        <w:pStyle w:val="ListParagraph"/>
        <w:numPr>
          <w:ilvl w:val="0"/>
          <w:numId w:val="3"/>
        </w:numPr>
        <w:spacing w:after="60" w:line="264"/>
      </w:pPr>
      <w:r>
        <w:t xml:space="preserve">Menciona alternativas a la epidural (paravertebral, bloqueos fasciales).</w:t>
      </w:r>
    </w:p>
    <w:p>
      <w:pPr>
        <w:pStyle w:val="ListParagraph"/>
        <w:numPr>
          <w:ilvl w:val="0"/>
          <w:numId w:val="3"/>
        </w:numPr>
        <w:spacing w:after="60" w:line="264"/>
      </w:pPr>
      <w:r>
        <w:t xml:space="preserve">Integra la analgesia multimodal.</w:t>
      </w:r>
    </w:p>
    <w:p>
      <w:pPr>
        <w:spacing w:after="60"/>
      </w:pPr>
    </w:p>
    <w:p>
      <w:pPr>
        <w:pStyle w:val="Heading1"/>
        <w:pageBreakBefore/>
      </w:pPr>
      <w:r>
        <w:t xml:space="preserve">6. Fragilidad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color="auto" w:val="clear"/>
            <w:tcMar>
              <w:top w:type="dxa" w:w="120"/>
              <w:left w:type="dxa" w:w="160"/>
              <w:bottom w:type="dxa" w:w="120"/>
              <w:right w:type="dxa" w:w="160"/>
            </w:tcMar>
          </w:tcPr>
          <w:p>
            <w:pPr>
              <w:spacing w:after="60"/>
            </w:pPr>
            <w:r>
              <w:rPr>
                <w:b/>
                <w:bCs/>
                <w:color w:val="1F4E79"/>
              </w:rPr>
              <w:t xml:space="preserve">Objetivo docente</w:t>
            </w:r>
          </w:p>
          <w:p>
            <w:pPr>
              <w:jc w:val="both"/>
            </w:pPr>
            <w:r>
              <w:t xml:space="preserve">Que el residente identifique la fragilidad y la sarcopenia con instrumentos validados y comprenda sus implicancias en la toma de decisiones perioperatorias.</w:t>
            </w:r>
          </w:p>
        </w:tc>
      </w:tr>
    </w:tbl>
    <w:p>
      <w:pPr>
        <w:spacing w:after="60"/>
      </w:pPr>
    </w:p>
    <w:p>
      <w:pPr>
        <w:pStyle w:val="Heading2"/>
      </w:pPr>
      <w:r>
        <w:t xml:space="preserve">Desarrollo</w:t>
      </w:r>
    </w:p>
    <w:p>
      <w:pPr>
        <w:pStyle w:val="Heading3"/>
      </w:pPr>
      <w:r>
        <w:t xml:space="preserve">6.1 Concepto</w:t>
      </w:r>
    </w:p>
    <w:p>
      <w:pPr>
        <w:spacing w:after="120" w:line="276"/>
        <w:jc w:val="both"/>
      </w:pPr>
      <w:r>
        <w:t xml:space="preserve">La fragilidad es un estado de vulnerabilidad derivado de la declinación acumulada de múltiples sistemas fisiológicos, que reduce la capacidad de mantener la homeostasis frente a estresores</w:t>
      </w:r>
      <w:r>
        <w:rPr>
          <w:color w:val="1F4E79"/>
        </w:rPr>
        <w:t xml:space="preserve"> [78]</w:t>
      </w:r>
      <w:r>
        <w:t xml:space="preserve">. Entre el 30 y el 50 % de los adultos mayores que van a cirugía mayor viven con fragilidad, lo que más que duplica el riesgo de morbilidad, mortalidad y nueva discapacidad</w:t>
      </w:r>
      <w:r>
        <w:rPr>
          <w:color w:val="1F4E79"/>
        </w:rPr>
        <w:t xml:space="preserve"> [79]</w:t>
      </w:r>
      <w:r>
        <w:t xml:space="preserve">. Se asocia, además, a mayor estadía y a egreso a instituciones de cuidado</w:t>
      </w:r>
      <w:r>
        <w:rPr>
          <w:color w:val="1F4E79"/>
        </w:rPr>
        <w:t xml:space="preserve"> [80]</w:t>
      </w:r>
      <w:r>
        <w:t xml:space="preserve">.</w:t>
      </w:r>
    </w:p>
    <w:p>
      <w:pPr>
        <w:pStyle w:val="Heading3"/>
      </w:pPr>
      <w:r>
        <w:t xml:space="preserve">6.2 Instrumentos de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Instrumento</w:t>
            </w:r>
          </w:p>
        </w:tc>
        <w:tc>
          <w:tcPr>
            <w:tcW w:type="dxa" w:w="4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Descripción</w:t>
            </w:r>
          </w:p>
        </w:tc>
        <w:tc>
          <w:tcPr>
            <w:tcW w:type="dxa" w:w="2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Punto de corte</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Clinical Frailty Scale</w:t>
            </w:r>
            <w:r>
              <w:rPr>
                <w:color w:val="1F4E79"/>
                <w:sz w:val="18"/>
                <w:szCs w:val="18"/>
              </w:rPr>
              <w:t xml:space="preserve"> [48]</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Escala de juicio clínico de 1 (muy en forma) a 9 (enfermo terminal), basada en la funcionalidad</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 5 frágil; 4 vulnerable</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Fenotipo de Fried</w:t>
            </w:r>
            <w:r>
              <w:rPr>
                <w:color w:val="1F4E79"/>
                <w:sz w:val="18"/>
                <w:szCs w:val="18"/>
              </w:rPr>
              <w:t xml:space="preserve"> [81]</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Pérdida de peso no intencionada, agotamiento, baja actividad física, marcha lenta y prensión débil</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 3 criterios frágil; 1–2 prefrágil</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Edmonton Frail Scale</w:t>
            </w:r>
            <w:r>
              <w:rPr>
                <w:color w:val="1F4E79"/>
                <w:sz w:val="18"/>
                <w:szCs w:val="18"/>
              </w:rPr>
              <w:t xml:space="preserve"> [82]</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Escala multidimensional (cognición, estado de salud, funcionalidad, apoyo social, fármacos, nutrición, ánimo, continencia, desempeño)</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Mayor puntaje, mayor fragilidad</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EWGSOP2 (sarcopenia)</w:t>
            </w:r>
            <w:r>
              <w:rPr>
                <w:color w:val="1F4E79"/>
                <w:sz w:val="18"/>
                <w:szCs w:val="18"/>
              </w:rPr>
              <w:t xml:space="preserve"> [40]</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Baja fuerza (prensión o sentarse-pararse) = sarcopenia probable; + baja masa muscular = confirmada; + bajo desempeño = severa</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Ver capítulo 2</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Liver Frailty Index</w:t>
            </w:r>
            <w:r>
              <w:rPr>
                <w:color w:val="1F4E79"/>
                <w:sz w:val="18"/>
                <w:szCs w:val="18"/>
              </w:rPr>
              <w:t xml:space="preserve"> [83]</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Prensión, sentarse-pararse y equilibrio; desarrollado en pacientes con cirrosis</w:t>
            </w:r>
          </w:p>
        </w:tc>
        <w:tc>
          <w:tcPr>
            <w:tcW w:type="dxa" w:w="2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Frágil ≥ 4,5</w:t>
            </w:r>
            <w:r>
              <w:rPr>
                <w:color w:val="1F4E79"/>
                <w:sz w:val="18"/>
                <w:szCs w:val="18"/>
              </w:rPr>
              <w:t xml:space="preserve"> [84]</w:t>
            </w:r>
          </w:p>
        </w:tc>
      </w:tr>
    </w:tbl>
    <w:p>
      <w:pPr>
        <w:spacing w:after="60"/>
      </w:pPr>
    </w:p>
    <w:p>
      <w:pPr>
        <w:spacing w:after="120" w:line="276"/>
        <w:jc w:val="both"/>
      </w:pPr>
      <w:r>
        <w:t xml:space="preserve">La Clinical Frailty Scale es la herramienta más factible en la consulta preanestésica, y su capacidad predictiva no difiere significativamente de la de otros instrumentos</w:t>
      </w:r>
      <w:r>
        <w:rPr>
          <w:color w:val="1F4E79"/>
        </w:rPr>
        <w:t xml:space="preserve"> [79]</w:t>
      </w:r>
      <w:r>
        <w:t xml:space="preserve">. En el paciente hepático, la sarcopenia y la desnutrición son muy frecuentes, y las guías de la AASLD recomiendan evaluarlas sistemáticamente</w:t>
      </w:r>
      <w:r>
        <w:rPr>
          <w:color w:val="1F4E79"/>
        </w:rPr>
        <w:t xml:space="preserve"> [84]</w:t>
      </w:r>
      <w:r>
        <w:t xml:space="preserve">.</w:t>
      </w:r>
    </w:p>
    <w:p>
      <w:pPr>
        <w:pStyle w:val="Heading3"/>
      </w:pPr>
      <w:r>
        <w:t xml:space="preserve">6.3 Intervención</w:t>
      </w:r>
    </w:p>
    <w:p>
      <w:pPr>
        <w:pStyle w:val="ListParagraph"/>
        <w:numPr>
          <w:ilvl w:val="0"/>
          <w:numId w:val="2"/>
        </w:numPr>
        <w:spacing w:after="60" w:line="264"/>
      </w:pPr>
      <w:r>
        <w:t xml:space="preserve">Prehabilitación multimodal con ejercicio de fuerza progresivo como base, junto a apoyo nutricional (suplementación calórica y proteica si hay pérdida de peso o desnutrición)</w:t>
      </w:r>
      <w:r>
        <w:rPr>
          <w:color w:val="1F4E79"/>
        </w:rPr>
        <w:t xml:space="preserve"> [63]</w:t>
      </w:r>
      <w:r>
        <w:t xml:space="preserve">.</w:t>
      </w:r>
    </w:p>
    <w:p>
      <w:pPr>
        <w:pStyle w:val="ListParagraph"/>
        <w:numPr>
          <w:ilvl w:val="0"/>
          <w:numId w:val="2"/>
        </w:numPr>
        <w:spacing w:after="60" w:line="264"/>
      </w:pPr>
      <w:r>
        <w:t xml:space="preserve">Revisión de fármacos y reducción de la polifarmacia</w:t>
      </w:r>
      <w:r>
        <w:rPr>
          <w:color w:val="1F4E79"/>
        </w:rPr>
        <w:t xml:space="preserve"> [63,85]</w:t>
      </w:r>
      <w:r>
        <w:t xml:space="preserve">.</w:t>
      </w:r>
    </w:p>
    <w:p>
      <w:pPr>
        <w:pStyle w:val="ListParagraph"/>
        <w:numPr>
          <w:ilvl w:val="0"/>
          <w:numId w:val="2"/>
        </w:numPr>
        <w:spacing w:after="60" w:line="264"/>
      </w:pPr>
      <w:r>
        <w:t xml:space="preserve">Evaluación cognitiva y del riesgo de delirio; plan de prevención</w:t>
      </w:r>
      <w:r>
        <w:rPr>
          <w:color w:val="1F4E79"/>
        </w:rPr>
        <w:t xml:space="preserve"> [85,86]</w:t>
      </w:r>
      <w:r>
        <w:t xml:space="preserve">.</w:t>
      </w:r>
    </w:p>
    <w:p>
      <w:pPr>
        <w:pStyle w:val="ListParagraph"/>
        <w:numPr>
          <w:ilvl w:val="0"/>
          <w:numId w:val="2"/>
        </w:numPr>
        <w:spacing w:after="60" w:line="264"/>
      </w:pPr>
      <w:r>
        <w:t xml:space="preserve">Evaluación del apoyo social y planificación del alta desde el preoperatorio.</w:t>
      </w:r>
    </w:p>
    <w:p>
      <w:pPr>
        <w:pStyle w:val="ListParagraph"/>
        <w:numPr>
          <w:ilvl w:val="0"/>
          <w:numId w:val="2"/>
        </w:numPr>
        <w:spacing w:after="60" w:line="264"/>
      </w:pPr>
      <w:r>
        <w:t xml:space="preserve">Toma de decisiones compartida, con metas de cuidado explícitas y discusión de alternativas no quirúrgicas o menos invasivas</w:t>
      </w:r>
      <w:r>
        <w:rPr>
          <w:color w:val="1F4E79"/>
        </w:rPr>
        <w:t xml:space="preserve"> [85]</w:t>
      </w:r>
      <w:r>
        <w:t xml:space="preserve">.</w:t>
      </w:r>
    </w:p>
    <w:p>
      <w:pPr>
        <w:spacing w:after="60"/>
      </w:pPr>
    </w:p>
    <w:p>
      <w:pPr>
        <w:spacing w:after="120" w:line="276"/>
        <w:jc w:val="both"/>
      </w:pPr>
      <w:r>
        <w:t xml:space="preserve">Implementar un tamizaje sistemático de fragilidad, con revisión de los pacientes frágiles por el equipo, se asoció a una disminución de la mortalidad a 30, 180 y 365 días (en frágiles, de 12,2 % a 3,8 % a 30 días)</w:t>
      </w:r>
      <w:r>
        <w:rPr>
          <w:color w:val="1F4E79"/>
        </w:rPr>
        <w:t xml:space="preserve"> [87]</w:t>
      </w:r>
      <w:r>
        <w:t xml:space="preser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20"/>
              <w:left w:type="dxa" w:w="160"/>
              <w:bottom w:type="dxa" w:w="120"/>
              <w:right w:type="dxa" w:w="160"/>
            </w:tcMar>
          </w:tcPr>
          <w:p>
            <w:pPr>
              <w:spacing w:after="60"/>
            </w:pPr>
            <w:r>
              <w:rPr>
                <w:b/>
                <w:bCs/>
                <w:color w:val="1F4E79"/>
              </w:rPr>
              <w:t xml:space="preserve">Perla para el anestesiólogo</w:t>
            </w:r>
          </w:p>
          <w:p>
            <w:pPr>
              <w:jc w:val="both"/>
            </w:pPr>
            <w:r>
              <w:t xml:space="preserve">La fragilidad cambia la conversación preoperatoria: además del riesgo de muerte, hay que hablar del riesgo de perder independencia.</w:t>
            </w:r>
          </w:p>
        </w:tc>
      </w:tr>
    </w:tbl>
    <w:p>
      <w:pPr>
        <w:spacing w:after="60"/>
      </w:pPr>
    </w:p>
    <w:p>
      <w:pPr>
        <w:pStyle w:val="Heading2"/>
      </w:pPr>
      <w:r>
        <w:t xml:space="preserve">Actividad práctica en la rotación</w:t>
      </w:r>
    </w:p>
    <w:p>
      <w:pPr>
        <w:spacing w:after="120" w:line="276"/>
        <w:jc w:val="both"/>
      </w:pPr>
      <w:r>
        <w:t xml:space="preserve">Aplicar la CFS y los criterios EWGSOP2 a todos los pacientes ≥ 65 años evaluados; comparar la clasificación con la impresión clínica inicial.</w:t>
      </w:r>
    </w:p>
    <w:p>
      <w:pPr>
        <w:pStyle w:val="Heading3"/>
      </w:pPr>
      <w:r>
        <w:t xml:space="preserve">Desempeño esperado (estándar ideal)</w:t>
      </w:r>
    </w:p>
    <w:p>
      <w:pPr>
        <w:pStyle w:val="ListParagraph"/>
        <w:numPr>
          <w:ilvl w:val="0"/>
          <w:numId w:val="3"/>
        </w:numPr>
        <w:spacing w:after="60" w:line="264"/>
      </w:pPr>
      <w:r>
        <w:t xml:space="preserve">Asigna la CFS basándose en la funcionalidad de las 2 semanas previas a la enfermedad aguda, no en la impresión visual.</w:t>
      </w:r>
    </w:p>
    <w:p>
      <w:pPr>
        <w:pStyle w:val="ListParagraph"/>
        <w:numPr>
          <w:ilvl w:val="0"/>
          <w:numId w:val="3"/>
        </w:numPr>
        <w:spacing w:after="60" w:line="264"/>
      </w:pPr>
      <w:r>
        <w:t xml:space="preserve">Aplica el algoritmo EWGSOP2 (encontrar, evaluar, confirmar, graduar).</w:t>
      </w:r>
    </w:p>
    <w:p>
      <w:pPr>
        <w:pStyle w:val="ListParagraph"/>
        <w:numPr>
          <w:ilvl w:val="0"/>
          <w:numId w:val="3"/>
        </w:numPr>
        <w:spacing w:after="60" w:line="264"/>
      </w:pPr>
      <w:r>
        <w:t xml:space="preserve">Compara su impresión inicial con el resultado y reflexiona sobre la discrepancia (bitácora).</w:t>
      </w:r>
    </w:p>
    <w:p>
      <w:pPr>
        <w:pStyle w:val="ListParagraph"/>
        <w:numPr>
          <w:ilvl w:val="0"/>
          <w:numId w:val="3"/>
        </w:numPr>
        <w:spacing w:after="60" w:line="264"/>
      </w:pPr>
      <w:r>
        <w:t xml:space="preserve">Propone intervenciones concretas para los pacientes frágiles (ejercicio, nutrición, fármacos, delirio, metas de cuidado).</w:t>
      </w:r>
    </w:p>
    <w:p>
      <w:pPr>
        <w:pStyle w:val="Heading2"/>
      </w:pPr>
      <w:r>
        <w:t xml:space="preserve">Preguntas para la discusión</w:t>
      </w:r>
    </w:p>
    <w:p>
      <w:pPr>
        <w:pStyle w:val="Heading3"/>
      </w:pPr>
      <w:r>
        <w:t xml:space="preserve">Pregunta 1. ¿La fragilidad es reversible? ¿Qué componentes pueden modificarse en 4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color="auto" w:val="clear"/>
            <w:tcMar>
              <w:top w:type="dxa" w:w="120"/>
              <w:left w:type="dxa" w:w="160"/>
              <w:bottom w:type="dxa" w:w="120"/>
              <w:right w:type="dxa" w:w="160"/>
            </w:tcMar>
          </w:tcPr>
          <w:p>
            <w:pPr>
              <w:spacing w:after="60"/>
            </w:pPr>
            <w:r>
              <w:rPr>
                <w:b/>
                <w:bCs/>
                <w:color w:val="1F4E79"/>
              </w:rPr>
              <w:t xml:space="preserve">Respuesta modelo</w:t>
            </w:r>
          </w:p>
          <w:p>
            <w:pPr>
              <w:jc w:val="both"/>
            </w:pPr>
            <w:r>
              <w:t xml:space="preserve">La fragilidad es un estado dinámico y potencialmente reversible, sobre todo en sus etapas iniciales (prefragilidad)</w:t>
            </w:r>
            <w:r>
              <w:rPr>
                <w:color w:val="1F4E79"/>
              </w:rPr>
              <w:t xml:space="preserve"> [63,78]</w:t>
            </w:r>
            <w:r>
              <w:t xml:space="preserve">. En 4 semanas pueden modificarse los componentes físicos (fuerza, velocidad de marcha, resistencia aeróbica), el estado nutricional, la anemia, la polifarmacia y algunos aspectos psicológicos y de apoyo social; en cambio, el deterioro cognitivo establecido y la multimorbilidad son poco modificables en ese plazo. La evidencia de la prehabilitación preoperatoria en pacientes frágiles es aún contradictoria: dos ensayos (uno supervisado parcialmente y otro domiciliario) no demostraron menos complicaciones ni mejor recuperación, y la adherencia apareció como un factor determinante</w:t>
            </w:r>
            <w:r>
              <w:rPr>
                <w:color w:val="1F4E79"/>
              </w:rPr>
              <w:t xml:space="preserve"> [17,18]</w:t>
            </w:r>
            <w:r>
              <w:t xml:space="preserve">. Por ello, en el paciente frágil la intervención debe ser supervisada, multicomponente y realista, y acompañarse de una conversación sobre metas de cuidado.</w:t>
            </w:r>
          </w:p>
        </w:tc>
      </w:tr>
    </w:tbl>
    <w:p>
      <w:pPr>
        <w:spacing w:after="60"/>
      </w:pPr>
    </w:p>
    <w:p>
      <w:pPr>
        <w:spacing w:after="120" w:line="276"/>
        <w:jc w:val="left"/>
      </w:pPr>
      <w:r>
        <w:rPr>
          <w:b/>
          <w:bCs/>
        </w:rPr>
        <w:t xml:space="preserve">Elementos esenciales (para evaluar):</w:t>
      </w:r>
    </w:p>
    <w:p>
      <w:pPr>
        <w:pStyle w:val="ListParagraph"/>
        <w:numPr>
          <w:ilvl w:val="0"/>
          <w:numId w:val="3"/>
        </w:numPr>
        <w:spacing w:after="60" w:line="264"/>
      </w:pPr>
      <w:r>
        <w:t xml:space="preserve">Afirma que es un estado dinámico y parcialmente reversible.</w:t>
      </w:r>
    </w:p>
    <w:p>
      <w:pPr>
        <w:pStyle w:val="ListParagraph"/>
        <w:numPr>
          <w:ilvl w:val="0"/>
          <w:numId w:val="3"/>
        </w:numPr>
        <w:spacing w:after="60" w:line="264"/>
      </w:pPr>
      <w:r>
        <w:t xml:space="preserve">Identifica componentes modificables en 4 semanas (físico, nutricional, fármacos, anemia).</w:t>
      </w:r>
    </w:p>
    <w:p>
      <w:pPr>
        <w:pStyle w:val="ListParagraph"/>
        <w:numPr>
          <w:ilvl w:val="0"/>
          <w:numId w:val="3"/>
        </w:numPr>
        <w:spacing w:after="60" w:line="264"/>
      </w:pPr>
      <w:r>
        <w:t xml:space="preserve">Reconoce la evidencia contradictoria de la prehabilitación en frágiles.</w:t>
      </w:r>
    </w:p>
    <w:p>
      <w:pPr>
        <w:spacing w:after="120" w:line="276"/>
        <w:jc w:val="left"/>
      </w:pPr>
      <w:r>
        <w:rPr>
          <w:b/>
          <w:bCs/>
        </w:rPr>
        <w:t xml:space="preserve">Elementos que distinguen una respuesta excelente:</w:t>
      </w:r>
    </w:p>
    <w:p>
      <w:pPr>
        <w:pStyle w:val="ListParagraph"/>
        <w:numPr>
          <w:ilvl w:val="0"/>
          <w:numId w:val="3"/>
        </w:numPr>
        <w:spacing w:after="60" w:line="264"/>
      </w:pPr>
      <w:r>
        <w:t xml:space="preserve">Plantea la supervisión como estrategia para mejorar la adherencia.</w:t>
      </w:r>
    </w:p>
    <w:p>
      <w:pPr>
        <w:pStyle w:val="ListParagraph"/>
        <w:numPr>
          <w:ilvl w:val="0"/>
          <w:numId w:val="3"/>
        </w:numPr>
        <w:spacing w:after="60" w:line="264"/>
      </w:pPr>
      <w:r>
        <w:t xml:space="preserve">Incluye las metas de cuidado.</w:t>
      </w:r>
    </w:p>
    <w:p>
      <w:pPr>
        <w:spacing w:after="60"/>
      </w:pPr>
    </w:p>
    <w:p>
      <w:pPr>
        <w:pStyle w:val="Heading3"/>
      </w:pPr>
      <w:r>
        <w:t xml:space="preserve">Pregunta 2. ¿Cómo cambia el manejo anestésico en un paciente frágil (dosis, profundidad anestésica, prevención del delirio)?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color="auto" w:val="clear"/>
            <w:tcMar>
              <w:top w:type="dxa" w:w="120"/>
              <w:left w:type="dxa" w:w="160"/>
              <w:bottom w:type="dxa" w:w="120"/>
              <w:right w:type="dxa" w:w="160"/>
            </w:tcMar>
          </w:tcPr>
          <w:p>
            <w:pPr>
              <w:spacing w:after="60"/>
            </w:pPr>
            <w:r>
              <w:rPr>
                <w:b/>
                <w:bCs/>
                <w:color w:val="1F4E79"/>
              </w:rPr>
              <w:t xml:space="preserve">Respuesta modelo</w:t>
            </w:r>
          </w:p>
          <w:p>
            <w:pPr>
              <w:jc w:val="both"/>
            </w:pPr>
            <w:r>
              <w:t xml:space="preserve">Dosis: la disminución de la masa magra y del agua corporal, la menor depuración renal y hepática y la mayor sensibilidad del sistema nervioso central hacen necesario reducir y titular las dosis de hipnóticos y opioides, con inducción lenta y mayor atención a la hipotensión. Profundidad anestésica: evitar la anestesia excesivamente profunda, idealmente guiada por monitorización EEG procesada, en línea con las guías de delirio postoperatorio de la ESAIC</w:t>
            </w:r>
            <w:r>
              <w:rPr>
                <w:color w:val="1F4E79"/>
              </w:rPr>
              <w:t xml:space="preserve"> [86]</w:t>
            </w:r>
            <w:r>
              <w:t xml:space="preserve">. Prevención del delirio: tamizaje preoperatorio de riesgo, evitar benzodiacepinas y fármacos anticolinérgicos, analgesia multimodal ahorradora de opioides y técnicas regionales cuando sea posible, mantener la normotermia y la estabilidad hemodinámica, permitir lentes y audífonos, favorecer el sueño, la orientación y la presencia de la familia, y movilización precoz; además, tamizaje postoperatorio sistemático del delirio</w:t>
            </w:r>
            <w:r>
              <w:rPr>
                <w:color w:val="1F4E79"/>
              </w:rPr>
              <w:t xml:space="preserve"> [85,86]</w:t>
            </w:r>
            <w:r>
              <w:t xml:space="preserve">. Finalmente, revisar con el paciente y su familia las metas de cuidado y las directivas anticipadas</w:t>
            </w:r>
            <w:r>
              <w:rPr>
                <w:color w:val="1F4E79"/>
              </w:rPr>
              <w:t xml:space="preserve"> [85]</w:t>
            </w:r>
            <w:r>
              <w:t xml:space="preserve">.</w:t>
            </w:r>
          </w:p>
        </w:tc>
      </w:tr>
    </w:tbl>
    <w:p>
      <w:pPr>
        <w:spacing w:after="60"/>
      </w:pPr>
    </w:p>
    <w:p>
      <w:pPr>
        <w:spacing w:after="120" w:line="276"/>
        <w:jc w:val="left"/>
      </w:pPr>
      <w:r>
        <w:rPr>
          <w:b/>
          <w:bCs/>
        </w:rPr>
        <w:t xml:space="preserve">Elementos esenciales (para evaluar):</w:t>
      </w:r>
    </w:p>
    <w:p>
      <w:pPr>
        <w:pStyle w:val="ListParagraph"/>
        <w:numPr>
          <w:ilvl w:val="0"/>
          <w:numId w:val="3"/>
        </w:numPr>
        <w:spacing w:after="60" w:line="264"/>
      </w:pPr>
      <w:r>
        <w:t xml:space="preserve">Ajusta y titula las dosis con fundamento farmacológico.</w:t>
      </w:r>
    </w:p>
    <w:p>
      <w:pPr>
        <w:pStyle w:val="ListParagraph"/>
        <w:numPr>
          <w:ilvl w:val="0"/>
          <w:numId w:val="3"/>
        </w:numPr>
        <w:spacing w:after="60" w:line="264"/>
      </w:pPr>
      <w:r>
        <w:t xml:space="preserve">Propone evitar la anestesia profunda con monitorización EEG procesada.</w:t>
      </w:r>
    </w:p>
    <w:p>
      <w:pPr>
        <w:pStyle w:val="ListParagraph"/>
        <w:numPr>
          <w:ilvl w:val="0"/>
          <w:numId w:val="3"/>
        </w:numPr>
        <w:spacing w:after="60" w:line="264"/>
      </w:pPr>
      <w:r>
        <w:t xml:space="preserve">Enumera al menos 3 medidas de prevención del delirio.</w:t>
      </w:r>
    </w:p>
    <w:p>
      <w:pPr>
        <w:pStyle w:val="ListParagraph"/>
        <w:numPr>
          <w:ilvl w:val="0"/>
          <w:numId w:val="3"/>
        </w:numPr>
        <w:spacing w:after="60" w:line="264"/>
      </w:pPr>
      <w:r>
        <w:t xml:space="preserve">Incluye las metas de cuidado.</w:t>
      </w:r>
    </w:p>
    <w:p>
      <w:pPr>
        <w:spacing w:after="120" w:line="276"/>
        <w:jc w:val="left"/>
      </w:pPr>
      <w:r>
        <w:rPr>
          <w:b/>
          <w:bCs/>
        </w:rPr>
        <w:t xml:space="preserve">Elementos que distinguen una respuesta excelente:</w:t>
      </w:r>
    </w:p>
    <w:p>
      <w:pPr>
        <w:pStyle w:val="ListParagraph"/>
        <w:numPr>
          <w:ilvl w:val="0"/>
          <w:numId w:val="3"/>
        </w:numPr>
        <w:spacing w:after="60" w:line="264"/>
      </w:pPr>
      <w:r>
        <w:t xml:space="preserve">Menciona el tamizaje postoperatorio del delirio.</w:t>
      </w:r>
    </w:p>
    <w:p>
      <w:pPr>
        <w:pStyle w:val="ListParagraph"/>
        <w:numPr>
          <w:ilvl w:val="0"/>
          <w:numId w:val="3"/>
        </w:numPr>
        <w:spacing w:after="60" w:line="264"/>
      </w:pPr>
      <w:r>
        <w:t xml:space="preserve">Cita las guías ESAIC o ACS/AGS.</w:t>
      </w:r>
    </w:p>
    <w:p>
      <w:pPr>
        <w:spacing w:after="60"/>
      </w:pPr>
    </w:p>
    <w:p>
      <w:pPr>
        <w:pStyle w:val="Heading1"/>
        <w:pageBreakBefore/>
      </w:pPr>
      <w:r>
        <w:t xml:space="preserve">7. Movilización precoz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color="auto" w:val="clear"/>
            <w:tcMar>
              <w:top w:type="dxa" w:w="120"/>
              <w:left w:type="dxa" w:w="160"/>
              <w:bottom w:type="dxa" w:w="120"/>
              <w:right w:type="dxa" w:w="160"/>
            </w:tcMar>
          </w:tcPr>
          <w:p>
            <w:pPr>
              <w:spacing w:after="60"/>
            </w:pPr>
            <w:r>
              <w:rPr>
                <w:b/>
                <w:bCs/>
                <w:color w:val="1F4E79"/>
              </w:rPr>
              <w:t xml:space="preserve">Objetivo docente</w:t>
            </w:r>
          </w:p>
          <w:p>
            <w:pPr>
              <w:jc w:val="both"/>
            </w:pPr>
            <w:r>
              <w:t xml:space="preserve">Que el residente comprenda la movilización precoz como un objetivo compartido del equipo y reconozca cómo las decisiones anestésicas la facilitan o la impiden.</w:t>
            </w:r>
          </w:p>
        </w:tc>
      </w:tr>
    </w:tbl>
    <w:p>
      <w:pPr>
        <w:spacing w:after="60"/>
      </w:pPr>
    </w:p>
    <w:p>
      <w:pPr>
        <w:pStyle w:val="Heading2"/>
      </w:pPr>
      <w:r>
        <w:t xml:space="preserve">Desarrollo</w:t>
      </w:r>
    </w:p>
    <w:p>
      <w:pPr>
        <w:pStyle w:val="Heading3"/>
      </w:pPr>
      <w:r>
        <w:t xml:space="preserve">7.1 Fundamento</w:t>
      </w:r>
    </w:p>
    <w:p>
      <w:pPr>
        <w:spacing w:after="120" w:line="276"/>
        <w:jc w:val="both"/>
      </w:pPr>
      <w:r>
        <w:t xml:space="preserve">El reposo en cama produce pérdida de masa y fuerza muscular, desacondicionamiento cardiovascular, resistencia a la insulina, atelectasia, tromboembolismo venoso, úlceras por presión y delirio</w:t>
      </w:r>
      <w:r>
        <w:rPr>
          <w:color w:val="1F4E79"/>
        </w:rPr>
        <w:t xml:space="preserve"> [59,88]</w:t>
      </w:r>
      <w:r>
        <w:t xml:space="preserve">. La movilización precoz es un componente central de los protocolos ERAS</w:t>
      </w:r>
      <w:r>
        <w:rPr>
          <w:color w:val="1F4E79"/>
        </w:rPr>
        <w:t xml:space="preserve"> [4,89]</w:t>
      </w:r>
      <w:r>
        <w:t xml:space="preserve">.</w:t>
      </w:r>
    </w:p>
    <w:p>
      <w:pPr>
        <w:pStyle w:val="Heading3"/>
      </w:pPr>
      <w:r>
        <w:t xml:space="preserve">7.2 Evidencia</w:t>
      </w:r>
    </w:p>
    <w:p>
      <w:pPr>
        <w:spacing w:after="120" w:line="276"/>
        <w:jc w:val="both"/>
      </w:pPr>
      <w:r>
        <w:t xml:space="preserve">Un programa de movilización precoz supervisado tras cirugía oncológica abdominal mayor fue seguro y mejoró la capacidad funcional, aunque su impacto en los resultados clínicos no fue concluyente</w:t>
      </w:r>
      <w:r>
        <w:rPr>
          <w:color w:val="1F4E79"/>
        </w:rPr>
        <w:t xml:space="preserve"> [90]</w:t>
      </w:r>
      <w:r>
        <w:t xml:space="preserve">. En un programa ERAS de cirugía colorrectal, aumentar la facilitación de la movilización por parte del personal incrementó el tiempo fuera de la cama, pero no mejoró los resultados</w:t>
      </w:r>
      <w:r>
        <w:rPr>
          <w:color w:val="1F4E79"/>
        </w:rPr>
        <w:t xml:space="preserve"> [91]</w:t>
      </w:r>
      <w:r>
        <w:t xml:space="preserve">. La interpretación más razonable es que la movilización es un indicador y un componente de una recuperación exitosa, que depende del conjunto de medidas (analgesia, NVPO, fluidos, retiro de dispositivos) más que de una intervención aislada</w:t>
      </w:r>
      <w:r>
        <w:rPr>
          <w:color w:val="1F4E79"/>
        </w:rPr>
        <w:t xml:space="preserve"> [92]</w:t>
      </w:r>
      <w:r>
        <w:t xml:space="preserve">.</w:t>
      </w:r>
    </w:p>
    <w:p>
      <w:pPr>
        <w:pStyle w:val="Heading3"/>
      </w:pPr>
      <w:r>
        <w:t xml:space="preserve">7.3 Objetivos y criterios de seguridad</w:t>
      </w:r>
    </w:p>
    <w:p>
      <w:pPr>
        <w:pStyle w:val="ListParagraph"/>
        <w:numPr>
          <w:ilvl w:val="0"/>
          <w:numId w:val="2"/>
        </w:numPr>
        <w:spacing w:after="60" w:line="264"/>
      </w:pPr>
      <w:r>
        <w:t xml:space="preserve">Objetivos habituales: sedestación o bipedestación el mismo día de la cirugía y deambulación progresiva desde el día 1, ajustados al tipo de cirugía y al estado del paciente</w:t>
      </w:r>
      <w:r>
        <w:rPr>
          <w:color w:val="1F4E79"/>
        </w:rPr>
        <w:t xml:space="preserve"> [89,92]</w:t>
      </w:r>
      <w:r>
        <w:t xml:space="preserve">.</w:t>
      </w:r>
    </w:p>
    <w:p>
      <w:pPr>
        <w:pStyle w:val="ListParagraph"/>
        <w:numPr>
          <w:ilvl w:val="0"/>
          <w:numId w:val="2"/>
        </w:numPr>
        <w:spacing w:after="60" w:line="264"/>
      </w:pPr>
      <w:r>
        <w:t xml:space="preserve">Criterios de seguridad (adaptados del consenso para la movilización en pacientes críticos</w:t>
      </w:r>
      <w:r>
        <w:rPr>
          <w:color w:val="1F4E79"/>
        </w:rPr>
        <w:t xml:space="preserve"> [93]</w:t>
      </w:r>
      <w:r>
        <w:t xml:space="preserve">): estabilidad hemodinámica sin aumento reciente de drogas vasoactivas ni arritmias o isquemia activas; SpO2 adecuada con el soporte disponible y sin aumento de los requerimientos de oxígeno; ausencia de sangrado activo; paciente vigil y colaborador; dolor controlado; y ausencia de restricciones quirúrgicas.</w:t>
      </w:r>
    </w:p>
    <w:p>
      <w:pPr>
        <w:spacing w:after="60"/>
      </w:pPr>
    </w:p>
    <w:p>
      <w:pPr>
        <w:pStyle w:val="Heading3"/>
      </w:pPr>
      <w:r>
        <w:t xml:space="preserve">7.4 Barreras y rol del anestesiólogo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Barrera</w:t>
            </w:r>
          </w:p>
        </w:tc>
        <w:tc>
          <w:tcPr>
            <w:tcW w:type="dxa" w:w="6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Estrategia anestésica</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Dolor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Analgesia multimodal ahorradora de opioides; técnicas regionales que no bloqueen la función motora; plan de rescate claro</w:t>
            </w:r>
            <w:r>
              <w:rPr>
                <w:color w:val="1F4E79"/>
                <w:sz w:val="18"/>
                <w:szCs w:val="18"/>
              </w:rPr>
              <w:t xml:space="preserve"> [4]</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Náuseas y vómitos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Evaluación del riesgo y profilaxis multimodal según el número de factores de riesgo</w:t>
            </w:r>
            <w:r>
              <w:rPr>
                <w:color w:val="1F4E79"/>
                <w:sz w:val="18"/>
                <w:szCs w:val="18"/>
              </w:rPr>
              <w:t xml:space="preserve"> [58]</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Hipotensión ortostática</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Manejo de fluidos orientado a objetivos, evitar la sobrecarga y la hipovolemia; ajustar la concentración del anestésico local epidural</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Bloqueo motor</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Elegir técnicas y concentraciones que preserven la fuerza de extremidades inferiores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Catéteres, drenajes y sondas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Minimizar su uso y planificar su retiro precoz</w:t>
            </w:r>
            <w:r>
              <w:rPr>
                <w:color w:val="1F4E79"/>
                <w:sz w:val="18"/>
                <w:szCs w:val="18"/>
              </w:rPr>
              <w:t xml:space="preserve"> [89]</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Sedación y delirio</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Evitar benzodiacepinas y exceso de opioides; prevención del delirio</w:t>
            </w:r>
            <w:r>
              <w:rPr>
                <w:color w:val="1F4E79"/>
                <w:sz w:val="18"/>
                <w:szCs w:val="18"/>
              </w:rPr>
              <w:t xml:space="preserve"> [86]</w:t>
            </w:r>
          </w:p>
        </w:tc>
      </w:tr>
    </w:tbl>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20"/>
              <w:left w:type="dxa" w:w="160"/>
              <w:bottom w:type="dxa" w:w="120"/>
              <w:right w:type="dxa" w:w="160"/>
            </w:tcMar>
          </w:tcPr>
          <w:p>
            <w:pPr>
              <w:spacing w:after="60"/>
            </w:pPr>
            <w:r>
              <w:rPr>
                <w:b/>
                <w:bCs/>
                <w:color w:val="1F4E79"/>
              </w:rPr>
              <w:t xml:space="preserve">Perla para el anestesiólogo</w:t>
            </w:r>
          </w:p>
          <w:p>
            <w:pPr>
              <w:jc w:val="both"/>
            </w:pPr>
            <w:r>
              <w:t xml:space="preserve">Al planificar la analgesia hay que preguntarse: ¿permite que este paciente se siente y camine mañana?</w:t>
            </w:r>
          </w:p>
        </w:tc>
      </w:tr>
    </w:tbl>
    <w:p>
      <w:pPr>
        <w:spacing w:after="60"/>
      </w:pPr>
    </w:p>
    <w:p>
      <w:pPr>
        <w:pStyle w:val="Heading2"/>
      </w:pPr>
      <w:r>
        <w:t xml:space="preserve">Actividad práctica en la rotación</w:t>
      </w:r>
    </w:p>
    <w:p>
      <w:pPr>
        <w:spacing w:after="120" w:line="276"/>
        <w:jc w:val="both"/>
      </w:pPr>
      <w:r>
        <w:t xml:space="preserve">Hacer seguimiento de pacientes prehabilitados en el postoperatorio (días 0–3), registrar el día y la distancia de la primera deambulación y las barreras encontradas.</w:t>
      </w:r>
    </w:p>
    <w:p>
      <w:pPr>
        <w:pStyle w:val="Heading3"/>
      </w:pPr>
      <w:r>
        <w:t xml:space="preserve">Desempeño esperado (estándar ideal)</w:t>
      </w:r>
    </w:p>
    <w:p>
      <w:pPr>
        <w:pStyle w:val="ListParagraph"/>
        <w:numPr>
          <w:ilvl w:val="0"/>
          <w:numId w:val="3"/>
        </w:numPr>
        <w:spacing w:after="60" w:line="264"/>
      </w:pPr>
      <w:r>
        <w:t xml:space="preserve">Registra en forma sistemática para cada paciente: día y hora de la primera sedestación, bipedestación y deambulación, y la distancia recorrida.</w:t>
      </w:r>
    </w:p>
    <w:p>
      <w:pPr>
        <w:pStyle w:val="ListParagraph"/>
        <w:numPr>
          <w:ilvl w:val="0"/>
          <w:numId w:val="3"/>
        </w:numPr>
        <w:spacing w:after="60" w:line="264"/>
      </w:pPr>
      <w:r>
        <w:t xml:space="preserve">Identifica las barreras y las clasifica (analgesia, NVPO, hemodinamia, dispositivos, motivación, organización).</w:t>
      </w:r>
    </w:p>
    <w:p>
      <w:pPr>
        <w:pStyle w:val="ListParagraph"/>
        <w:numPr>
          <w:ilvl w:val="0"/>
          <w:numId w:val="3"/>
        </w:numPr>
        <w:spacing w:after="60" w:line="264"/>
      </w:pPr>
      <w:r>
        <w:t xml:space="preserve">Propone al menos una intervención anestésica concreta para cada barrera relacionada con la anestesia.</w:t>
      </w:r>
    </w:p>
    <w:p>
      <w:pPr>
        <w:pStyle w:val="ListParagraph"/>
        <w:numPr>
          <w:ilvl w:val="0"/>
          <w:numId w:val="3"/>
        </w:numPr>
        <w:spacing w:after="60" w:line="264"/>
      </w:pPr>
      <w:r>
        <w:t xml:space="preserve">Comunica sus hallazgos al equipo de kinesiología y al equipo tratante.</w:t>
      </w:r>
    </w:p>
    <w:p>
      <w:pPr>
        <w:pStyle w:val="Heading2"/>
      </w:pPr>
      <w:r>
        <w:t xml:space="preserve">Preguntas para la discusión</w:t>
      </w:r>
    </w:p>
    <w:p>
      <w:pPr>
        <w:pStyle w:val="Heading3"/>
      </w:pPr>
      <w:r>
        <w:t xml:space="preserve">Pregunta 1. ¿Qué técnica analgésica elegiría en una hepatectomía abierta para favorecer la movilización?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color="auto" w:val="clear"/>
            <w:tcMar>
              <w:top w:type="dxa" w:w="120"/>
              <w:left w:type="dxa" w:w="160"/>
              <w:bottom w:type="dxa" w:w="120"/>
              <w:right w:type="dxa" w:w="160"/>
            </w:tcMar>
          </w:tcPr>
          <w:p>
            <w:pPr>
              <w:spacing w:after="60"/>
            </w:pPr>
            <w:r>
              <w:rPr>
                <w:b/>
                <w:bCs/>
                <w:color w:val="1F4E79"/>
              </w:rPr>
              <w:t xml:space="preserve">Respuesta modelo</w:t>
            </w:r>
          </w:p>
          <w:p>
            <w:pPr>
              <w:jc w:val="both"/>
            </w:pPr>
            <w:r>
              <w:t xml:space="preserve">La elección se basa en un esquema multimodal y en las características de la resección. Las guías ERAS de cirugía hepática consideran la epidural torácica, la morfina intratecal y los catéteres de infiltración continua de la herida como alternativas dentro de una analgesia multimodal</w:t>
            </w:r>
            <w:r>
              <w:rPr>
                <w:color w:val="1F4E79"/>
              </w:rPr>
              <w:t xml:space="preserve"> [94]</w:t>
            </w:r>
            <w:r>
              <w:t xml:space="preserve">. La epidural torácica ofrece una excelente analgesia dinámica, pero exige precaución por la hipotensión (que puede llevar a sobrecarga de fluidos) y por la alteración transitoria de la coagulación tras una hepatectomía mayor, que condiciona el momento del retiro del catéter. La morfina intratecal y los catéteres de herida, junto con paracetamol (ajustando la dosis según la función hepática) y adyuvantes, son alternativas que interfieren menos con la hemodinamia y con la movilización. Se deben evitar los AINE en pacientes con cirrosis o riesgo renal. La respuesta ideal define la técnica según la extensión de la resección, la función hepática y la experiencia del equipo, con la meta explícita de lograr sedestación el día 0 y deambulación el día 1.</w:t>
            </w:r>
          </w:p>
        </w:tc>
      </w:tr>
    </w:tbl>
    <w:p>
      <w:pPr>
        <w:spacing w:after="60"/>
      </w:pPr>
    </w:p>
    <w:p>
      <w:pPr>
        <w:spacing w:after="120" w:line="276"/>
        <w:jc w:val="left"/>
      </w:pPr>
      <w:r>
        <w:rPr>
          <w:b/>
          <w:bCs/>
        </w:rPr>
        <w:t xml:space="preserve">Elementos esenciales (para evaluar):</w:t>
      </w:r>
    </w:p>
    <w:p>
      <w:pPr>
        <w:pStyle w:val="ListParagraph"/>
        <w:numPr>
          <w:ilvl w:val="0"/>
          <w:numId w:val="3"/>
        </w:numPr>
        <w:spacing w:after="60" w:line="264"/>
      </w:pPr>
      <w:r>
        <w:t xml:space="preserve">Propone un esquema multimodal con al menos una técnica regional o neuroaxial.</w:t>
      </w:r>
    </w:p>
    <w:p>
      <w:pPr>
        <w:pStyle w:val="ListParagraph"/>
        <w:numPr>
          <w:ilvl w:val="0"/>
          <w:numId w:val="3"/>
        </w:numPr>
        <w:spacing w:after="60" w:line="264"/>
      </w:pPr>
      <w:r>
        <w:t xml:space="preserve">Considera la coagulopatía postoperatoria y la hipotensión en la elección.</w:t>
      </w:r>
    </w:p>
    <w:p>
      <w:pPr>
        <w:pStyle w:val="ListParagraph"/>
        <w:numPr>
          <w:ilvl w:val="0"/>
          <w:numId w:val="3"/>
        </w:numPr>
        <w:spacing w:after="60" w:line="264"/>
      </w:pPr>
      <w:r>
        <w:t xml:space="preserve">Ajusta los fármacos a la función hepática (paracetamol, AINE).</w:t>
      </w:r>
    </w:p>
    <w:p>
      <w:pPr>
        <w:pStyle w:val="ListParagraph"/>
        <w:numPr>
          <w:ilvl w:val="0"/>
          <w:numId w:val="3"/>
        </w:numPr>
        <w:spacing w:after="60" w:line="264"/>
      </w:pPr>
      <w:r>
        <w:t xml:space="preserve">Relaciona la elección con el objetivo de movilización.</w:t>
      </w:r>
    </w:p>
    <w:p>
      <w:pPr>
        <w:spacing w:after="120" w:line="276"/>
        <w:jc w:val="left"/>
      </w:pPr>
      <w:r>
        <w:rPr>
          <w:b/>
          <w:bCs/>
        </w:rPr>
        <w:t xml:space="preserve">Elementos que distinguen una respuesta excelente:</w:t>
      </w:r>
    </w:p>
    <w:p>
      <w:pPr>
        <w:pStyle w:val="ListParagraph"/>
        <w:numPr>
          <w:ilvl w:val="0"/>
          <w:numId w:val="3"/>
        </w:numPr>
        <w:spacing w:after="60" w:line="264"/>
      </w:pPr>
      <w:r>
        <w:t xml:space="preserve">Cita la guía ERAS de cirugía hepática.</w:t>
      </w:r>
    </w:p>
    <w:p>
      <w:pPr>
        <w:pStyle w:val="ListParagraph"/>
        <w:numPr>
          <w:ilvl w:val="0"/>
          <w:numId w:val="3"/>
        </w:numPr>
        <w:spacing w:after="60" w:line="264"/>
      </w:pPr>
      <w:r>
        <w:t xml:space="preserve">Compara ventajas y desventajas de al menos dos técnicas.</w:t>
      </w:r>
    </w:p>
    <w:p>
      <w:pPr>
        <w:spacing w:after="60"/>
      </w:pPr>
    </w:p>
    <w:p>
      <w:pPr>
        <w:pStyle w:val="Heading3"/>
      </w:pPr>
      <w:r>
        <w:t xml:space="preserve">Pregunta 2. ¿Cuándo está contraindicado movilizar a un paciente postoperado?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color="auto" w:val="clear"/>
            <w:tcMar>
              <w:top w:type="dxa" w:w="120"/>
              <w:left w:type="dxa" w:w="160"/>
              <w:bottom w:type="dxa" w:w="120"/>
              <w:right w:type="dxa" w:w="160"/>
            </w:tcMar>
          </w:tcPr>
          <w:p>
            <w:pPr>
              <w:spacing w:after="60"/>
            </w:pPr>
            <w:r>
              <w:rPr>
                <w:b/>
                <w:bCs/>
                <w:color w:val="1F4E79"/>
              </w:rPr>
              <w:t xml:space="preserve">Respuesta modelo</w:t>
            </w:r>
          </w:p>
          <w:p>
            <w:pPr>
              <w:jc w:val="both"/>
            </w:pPr>
            <w:r>
              <w:t xml:space="preserve">La movilización debe postergarse cuando hay inestabilidad hemodinámica (necesidad creciente de drogas vasoactivas, hipotensión sintomática, arritmia no controlada o isquemia miocárdica activa), insuficiencia respiratoria (desaturación persistente pese al oxígeno, aumento de los requerimientos, trabajo respiratorio aumentado), sangrado activo, compromiso de conciencia, agitación o paciente no colaborador, fracturas o lesiones de columna inestables y restricciones quirúrgicas explícitas</w:t>
            </w:r>
            <w:r>
              <w:rPr>
                <w:color w:val="1F4E79"/>
              </w:rPr>
              <w:t xml:space="preserve"> [93]</w:t>
            </w:r>
            <w:r>
              <w:t xml:space="preserve">. La mayoría son contraindicaciones transitorias: se deben reevaluar a diario. El dolor, las náuseas o la presencia de drenajes no son contraindicaciones, sino barreras que se deben resolver.</w:t>
            </w:r>
          </w:p>
        </w:tc>
      </w:tr>
    </w:tbl>
    <w:p>
      <w:pPr>
        <w:spacing w:after="60"/>
      </w:pPr>
    </w:p>
    <w:p>
      <w:pPr>
        <w:spacing w:after="120" w:line="276"/>
        <w:jc w:val="left"/>
      </w:pPr>
      <w:r>
        <w:rPr>
          <w:b/>
          <w:bCs/>
        </w:rPr>
        <w:t xml:space="preserve">Elementos esenciales (para evaluar):</w:t>
      </w:r>
    </w:p>
    <w:p>
      <w:pPr>
        <w:pStyle w:val="ListParagraph"/>
        <w:numPr>
          <w:ilvl w:val="0"/>
          <w:numId w:val="3"/>
        </w:numPr>
        <w:spacing w:after="60" w:line="264"/>
      </w:pPr>
      <w:r>
        <w:t xml:space="preserve">Enumera criterios hemodinámicos, respiratorios, neurológicos y quirúrgicos.</w:t>
      </w:r>
    </w:p>
    <w:p>
      <w:pPr>
        <w:pStyle w:val="ListParagraph"/>
        <w:numPr>
          <w:ilvl w:val="0"/>
          <w:numId w:val="3"/>
        </w:numPr>
        <w:spacing w:after="60" w:line="264"/>
      </w:pPr>
      <w:r>
        <w:t xml:space="preserve">Distingue contraindicaciones de barreras modificables.</w:t>
      </w:r>
    </w:p>
    <w:p>
      <w:pPr>
        <w:pStyle w:val="ListParagraph"/>
        <w:numPr>
          <w:ilvl w:val="0"/>
          <w:numId w:val="3"/>
        </w:numPr>
        <w:spacing w:after="60" w:line="264"/>
      </w:pPr>
      <w:r>
        <w:t xml:space="preserve">Señala la reevaluación diaria.</w:t>
      </w:r>
    </w:p>
    <w:p>
      <w:pPr>
        <w:spacing w:after="120" w:line="276"/>
        <w:jc w:val="left"/>
      </w:pPr>
      <w:r>
        <w:rPr>
          <w:b/>
          <w:bCs/>
        </w:rPr>
        <w:t xml:space="preserve">Elementos que distinguen una respuesta excelente:</w:t>
      </w:r>
    </w:p>
    <w:p>
      <w:pPr>
        <w:pStyle w:val="ListParagraph"/>
        <w:numPr>
          <w:ilvl w:val="0"/>
          <w:numId w:val="3"/>
        </w:numPr>
        <w:spacing w:after="60" w:line="264"/>
      </w:pPr>
      <w:r>
        <w:t xml:space="preserve">Cita el consenso de criterios de seguridad.</w:t>
      </w:r>
    </w:p>
    <w:p>
      <w:pPr>
        <w:pStyle w:val="ListParagraph"/>
        <w:numPr>
          <w:ilvl w:val="0"/>
          <w:numId w:val="3"/>
        </w:numPr>
        <w:spacing w:after="60" w:line="264"/>
      </w:pPr>
      <w:r>
        <w:t xml:space="preserve">Propone una lista de verificación previa a la movilización.</w:t>
      </w:r>
    </w:p>
    <w:p>
      <w:pPr>
        <w:spacing w:after="60"/>
      </w:pPr>
    </w:p>
    <w:p>
      <w:pPr>
        <w:pStyle w:val="Heading1"/>
        <w:pageBreakBefore/>
      </w:pPr>
      <w:r>
        <w:t xml:space="preserve">8. Rol del kinesiólogo en medicina perioperatoria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DEBF7" w:color="auto" w:val="clear"/>
            <w:tcMar>
              <w:top w:type="dxa" w:w="120"/>
              <w:left w:type="dxa" w:w="160"/>
              <w:bottom w:type="dxa" w:w="120"/>
              <w:right w:type="dxa" w:w="160"/>
            </w:tcMar>
          </w:tcPr>
          <w:p>
            <w:pPr>
              <w:spacing w:after="60"/>
            </w:pPr>
            <w:r>
              <w:rPr>
                <w:b/>
                <w:bCs/>
                <w:color w:val="1F4E79"/>
              </w:rPr>
              <w:t xml:space="preserve">Objetivo docente</w:t>
            </w:r>
          </w:p>
          <w:p>
            <w:pPr>
              <w:jc w:val="both"/>
            </w:pPr>
            <w:r>
              <w:t xml:space="preserve">Que el residente conozca las competencias del kinesiólogo y las integre en la planificación perioperatoria mediante una comunicación efectiva.</w:t>
            </w:r>
          </w:p>
        </w:tc>
      </w:tr>
    </w:tbl>
    <w:p>
      <w:pPr>
        <w:spacing w:after="60"/>
      </w:pPr>
    </w:p>
    <w:p>
      <w:pPr>
        <w:pStyle w:val="Heading2"/>
      </w:pPr>
      <w:r>
        <w:t xml:space="preserve">Desarrollo</w:t>
      </w:r>
    </w:p>
    <w:p>
      <w:pPr>
        <w:pStyle w:val="Heading3"/>
      </w:pPr>
      <w:r>
        <w:t xml:space="preserve">8.1 Competencias</w:t>
      </w:r>
    </w:p>
    <w:p>
      <w:pPr>
        <w:pStyle w:val="ListParagraph"/>
        <w:numPr>
          <w:ilvl w:val="0"/>
          <w:numId w:val="2"/>
        </w:numPr>
        <w:spacing w:after="60" w:line="264"/>
      </w:pPr>
      <w:r>
        <w:t xml:space="preserve">Evaluación funcional y respiratoria: TM6M, pruebas de fuerza y desempeño, PImax/PEmax, fragilidad (capítulos 2 y 6).</w:t>
      </w:r>
    </w:p>
    <w:p>
      <w:pPr>
        <w:pStyle w:val="ListParagraph"/>
        <w:numPr>
          <w:ilvl w:val="0"/>
          <w:numId w:val="2"/>
        </w:numPr>
        <w:spacing w:after="60" w:line="264"/>
      </w:pPr>
      <w:r>
        <w:t xml:space="preserve">Prescripción, supervisión y progresión del ejercicio aeróbico y de fuerza (capítulos 3 y 4).</w:t>
      </w:r>
    </w:p>
    <w:p>
      <w:pPr>
        <w:pStyle w:val="ListParagraph"/>
        <w:numPr>
          <w:ilvl w:val="0"/>
          <w:numId w:val="2"/>
        </w:numPr>
        <w:spacing w:after="60" w:line="264"/>
      </w:pPr>
      <w:r>
        <w:t xml:space="preserve">Entrenamiento muscular inspiratorio y educación respiratoria preoperatoria (capítulo 5).</w:t>
      </w:r>
    </w:p>
    <w:p>
      <w:pPr>
        <w:pStyle w:val="ListParagraph"/>
        <w:numPr>
          <w:ilvl w:val="0"/>
          <w:numId w:val="2"/>
        </w:numPr>
        <w:spacing w:after="60" w:line="264"/>
      </w:pPr>
      <w:r>
        <w:t xml:space="preserve">Kinesiterapia respiratoria y movilización precoz en el postoperatorio (capítulos 5 y 7).</w:t>
      </w:r>
    </w:p>
    <w:p>
      <w:pPr>
        <w:pStyle w:val="ListParagraph"/>
        <w:numPr>
          <w:ilvl w:val="0"/>
          <w:numId w:val="2"/>
        </w:numPr>
        <w:spacing w:after="60" w:line="264"/>
      </w:pPr>
      <w:r>
        <w:t xml:space="preserve">Educación del paciente y de la familia, promoción de la adherencia y continuidad de la rehabilitación tras el alta.</w:t>
      </w:r>
    </w:p>
    <w:p>
      <w:pPr>
        <w:spacing w:after="60"/>
      </w:pPr>
    </w:p>
    <w:p>
      <w:pPr>
        <w:spacing w:after="120" w:line="276"/>
        <w:jc w:val="both"/>
      </w:pPr>
      <w:r>
        <w:t xml:space="preserve">En la mayoría de los programas de prehabilitación, el componente de ejercicio es diseñado y supervisado por kinesiólogos (fisioterapeutas)</w:t>
      </w:r>
      <w:r>
        <w:rPr>
          <w:color w:val="1F4E79"/>
        </w:rPr>
        <w:t xml:space="preserve"> [95]</w:t>
      </w:r>
      <w:r>
        <w:t xml:space="preserve">. El ensayo LIPPSMAck POP mostró que una única intervención kinésica preoperatoria puede reducir a la mitad las CPP</w:t>
      </w:r>
      <w:r>
        <w:rPr>
          <w:color w:val="1F4E79"/>
        </w:rPr>
        <w:t xml:space="preserve"> [73]</w:t>
      </w:r>
      <w:r>
        <w:t xml:space="preserve">, y los programas supervisados han mostrado mejores resultados que los domiciliarios no supervisados</w:t>
      </w:r>
      <w:r>
        <w:rPr>
          <w:color w:val="1F4E79"/>
        </w:rPr>
        <w:t xml:space="preserve"> [18,19]</w:t>
      </w:r>
      <w:r>
        <w:t xml:space="preserve">. El kinesiólogo es quien más tiempo pasa con el paciente durante la prehabilitación, por lo que detecta precozmente la falta de adherencia, la aparición de síntomas y los cambios clínicos.</w:t>
      </w:r>
    </w:p>
    <w:p>
      <w:pPr>
        <w:pStyle w:val="Heading3"/>
      </w:pPr>
      <w:r>
        <w:t xml:space="preserve">8.2 Trabajo interdisciplinario</w:t>
      </w:r>
    </w:p>
    <w:p>
      <w:pPr>
        <w:spacing w:after="120" w:line="276"/>
        <w:jc w:val="both"/>
      </w:pPr>
      <w:r>
        <w:t xml:space="preserve">La medicina perioperatoria moderna propone rediseñar el camino hacia la cirugía: aprovechar el período preoperatorio como un «momento educable», identificar precozmente el riesgo y coordinar intervenciones entre anestesiólogos, cirujanos, kinesiólogos, nutricionistas, psicólogos y enfermería</w:t>
      </w:r>
      <w:r>
        <w:rPr>
          <w:color w:val="1F4E79"/>
        </w:rPr>
        <w:t xml:space="preserve"> [23,24]</w:t>
      </w:r>
      <w:r>
        <w:t xml:space="preserve">. Las reuniones breves de caso y un registro común de la evaluación funcional evitan duplicaciones y permiten tomar decisiones compartidas.</w:t>
      </w:r>
    </w:p>
    <w:p>
      <w:pPr>
        <w:pStyle w:val="Heading3"/>
      </w:pPr>
      <w:r>
        <w:t xml:space="preserve">8.3 Comunicación efectiva</w:t>
      </w:r>
    </w:p>
    <w:p>
      <w:pPr>
        <w:spacing w:after="120" w:line="276"/>
        <w:jc w:val="both"/>
      </w:pPr>
      <w:r>
        <w:t xml:space="preserve">Una derivación y un traspaso efectivos deben ser estructurados. El formato SBAR (Situación, Antecedentes, Evaluación y Recomendación) es una herramienta validada para mejorar la comunicación entre profesionales</w:t>
      </w:r>
      <w:r>
        <w:rPr>
          <w:color w:val="1F4E79"/>
        </w:rPr>
        <w:t xml:space="preserve"> [96]</w:t>
      </w:r>
      <w:r>
        <w:t xml:space="preserve">. Aplicado a la derivación a kinesiología: Situación (diagnóstico, cirugía y fecha probable), Antecedentes (comorbilidades, restricciones cardiacas, ortopédicas u oncológicas), Evaluación (resultado de la evaluación funcional y del riesgo) y Recomendación (objetivo concreto: por ejemplo, aumentar 30 m en el TM6M e iniciar IMT en 4 semanas).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20"/>
              <w:left w:type="dxa" w:w="160"/>
              <w:bottom w:type="dxa" w:w="120"/>
              <w:right w:type="dxa" w:w="160"/>
            </w:tcMar>
          </w:tcPr>
          <w:p>
            <w:pPr>
              <w:spacing w:after="60"/>
            </w:pPr>
            <w:r>
              <w:rPr>
                <w:b/>
                <w:bCs/>
                <w:color w:val="1F4E79"/>
              </w:rPr>
              <w:t xml:space="preserve">Perla para el anestesiólogo</w:t>
            </w:r>
          </w:p>
          <w:p>
            <w:pPr>
              <w:jc w:val="both"/>
            </w:pPr>
            <w:r>
              <w:t xml:space="preserve">Una buena derivación a kinesiología incluye: diagnóstico y cirugía planificada, fecha probable, riesgo estimado, restricciones (cardiacas, ortopédicas, oncológicas) y un objetivo concreto.</w:t>
            </w:r>
          </w:p>
        </w:tc>
      </w:tr>
    </w:tbl>
    <w:p>
      <w:pPr>
        <w:spacing w:after="60"/>
      </w:pPr>
    </w:p>
    <w:p>
      <w:pPr>
        <w:pStyle w:val="Heading2"/>
      </w:pPr>
      <w:r>
        <w:t xml:space="preserve">Actividad práctica en la rotación</w:t>
      </w:r>
    </w:p>
    <w:p>
      <w:pPr>
        <w:spacing w:after="120" w:line="276"/>
        <w:jc w:val="both"/>
      </w:pPr>
      <w:r>
        <w:t xml:space="preserve">Presentar 1 caso semanal en la reunión con el equipo de kinesiología, con la propuesta de plan conjunto.</w:t>
      </w:r>
    </w:p>
    <w:p>
      <w:pPr>
        <w:pStyle w:val="Heading3"/>
      </w:pPr>
      <w:r>
        <w:t xml:space="preserve">Desempeño esperado (estándar ideal)</w:t>
      </w:r>
    </w:p>
    <w:p>
      <w:pPr>
        <w:pStyle w:val="ListParagraph"/>
        <w:numPr>
          <w:ilvl w:val="0"/>
          <w:numId w:val="3"/>
        </w:numPr>
        <w:spacing w:after="60" w:line="264"/>
      </w:pPr>
      <w:r>
        <w:t xml:space="preserve">Presenta el caso en forma estructurada (SBAR) y en un tiempo acotado (≈ 5 minutos).</w:t>
      </w:r>
    </w:p>
    <w:p>
      <w:pPr>
        <w:pStyle w:val="ListParagraph"/>
        <w:numPr>
          <w:ilvl w:val="0"/>
          <w:numId w:val="3"/>
        </w:numPr>
        <w:spacing w:after="60" w:line="264"/>
      </w:pPr>
      <w:r>
        <w:t xml:space="preserve">Integra la evaluación funcional, el riesgo y el plan de prehabilitación con objetivos medibles.</w:t>
      </w:r>
    </w:p>
    <w:p>
      <w:pPr>
        <w:pStyle w:val="ListParagraph"/>
        <w:numPr>
          <w:ilvl w:val="0"/>
          <w:numId w:val="3"/>
        </w:numPr>
        <w:spacing w:after="60" w:line="264"/>
      </w:pPr>
      <w:r>
        <w:t xml:space="preserve">Escucha e incorpora la opinión del kinesiólogo y define responsables y plazos.</w:t>
      </w:r>
    </w:p>
    <w:p>
      <w:pPr>
        <w:pStyle w:val="ListParagraph"/>
        <w:numPr>
          <w:ilvl w:val="0"/>
          <w:numId w:val="3"/>
        </w:numPr>
        <w:spacing w:after="60" w:line="264"/>
      </w:pPr>
      <w:r>
        <w:t xml:space="preserve">Hace seguimiento del caso en la semana siguiente.</w:t>
      </w:r>
    </w:p>
    <w:p>
      <w:pPr>
        <w:pStyle w:val="Heading2"/>
      </w:pPr>
      <w:r>
        <w:t xml:space="preserve">Preguntas para la discusión</w:t>
      </w:r>
    </w:p>
    <w:p>
      <w:pPr>
        <w:pStyle w:val="Heading3"/>
      </w:pPr>
      <w:r>
        <w:t xml:space="preserve">Pregunta 1. ¿Qué información del intraoperatorio es útil para el kinesiólogo que moviliza al paciente al día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F0D9" w:color="auto" w:val="clear"/>
            <w:tcMar>
              <w:top w:type="dxa" w:w="120"/>
              <w:left w:type="dxa" w:w="160"/>
              <w:bottom w:type="dxa" w:w="120"/>
              <w:right w:type="dxa" w:w="160"/>
            </w:tcMar>
          </w:tcPr>
          <w:p>
            <w:pPr>
              <w:spacing w:after="60"/>
            </w:pPr>
            <w:r>
              <w:rPr>
                <w:b/>
                <w:bCs/>
                <w:color w:val="1F4E79"/>
              </w:rPr>
              <w:t xml:space="preserve">Respuesta modelo</w:t>
            </w:r>
          </w:p>
          <w:p>
            <w:pPr>
              <w:jc w:val="both"/>
            </w:pPr>
            <w:r>
              <w:t xml:space="preserve">Un traspaso útil incluye: (1) cirugía realizada, vía de abordaje e incisiones, y restricciones quirúrgicas (posiciones, carga, uso de faja); (2) técnica anestésica y analgésica: tipo de bloqueo o catéter (epidural, paravertebral, de herida), fármacos, concentración, bloqueo motor esperado y su duración, y plan de analgesia de rescate; (3) eventos intraoperatorios: inestabilidad hemodinámica, uso de vasopresores, sangrado y transfusión, arritmias, broncoespasmo, desaturación o atelectasia, vía aérea difícil, aspiración; (4) balance de fluidos y riesgo de hipotensión ortostática; (5) bloqueo neuromuscular y su reversión; (6) dispositivos: drenajes, sondas, catéteres y su manejo; (7) riesgo de NVPO y profilaxis administrada; y (8) destino postoperatorio, metas de oxigenación y objetivos de movilización acordados. Idealmente, se transmite en formato estructurado (SBAR) y queda registrado</w:t>
            </w:r>
            <w:r>
              <w:rPr>
                <w:color w:val="1F4E79"/>
              </w:rPr>
              <w:t xml:space="preserve"> [89,96]</w:t>
            </w:r>
            <w:r>
              <w:t xml:space="preserve">.</w:t>
            </w:r>
          </w:p>
        </w:tc>
      </w:tr>
    </w:tbl>
    <w:p>
      <w:pPr>
        <w:spacing w:after="60"/>
      </w:pPr>
    </w:p>
    <w:p>
      <w:pPr>
        <w:spacing w:after="120" w:line="276"/>
        <w:jc w:val="left"/>
      </w:pPr>
      <w:r>
        <w:rPr>
          <w:b/>
          <w:bCs/>
        </w:rPr>
        <w:t xml:space="preserve">Elementos esenciales (para evaluar):</w:t>
      </w:r>
    </w:p>
    <w:p>
      <w:pPr>
        <w:pStyle w:val="ListParagraph"/>
        <w:numPr>
          <w:ilvl w:val="0"/>
          <w:numId w:val="3"/>
        </w:numPr>
        <w:spacing w:after="60" w:line="264"/>
      </w:pPr>
      <w:r>
        <w:t xml:space="preserve">Incluye la técnica analgésica y el bloqueo motor esperado.</w:t>
      </w:r>
    </w:p>
    <w:p>
      <w:pPr>
        <w:pStyle w:val="ListParagraph"/>
        <w:numPr>
          <w:ilvl w:val="0"/>
          <w:numId w:val="3"/>
        </w:numPr>
        <w:spacing w:after="60" w:line="264"/>
      </w:pPr>
      <w:r>
        <w:t xml:space="preserve">Incluye los eventos intraoperatorios relevantes y la hemodinamia.</w:t>
      </w:r>
    </w:p>
    <w:p>
      <w:pPr>
        <w:pStyle w:val="ListParagraph"/>
        <w:numPr>
          <w:ilvl w:val="0"/>
          <w:numId w:val="3"/>
        </w:numPr>
        <w:spacing w:after="60" w:line="264"/>
      </w:pPr>
      <w:r>
        <w:t xml:space="preserve">Incluye dispositivos y restricciones quirúrgicas.</w:t>
      </w:r>
    </w:p>
    <w:p>
      <w:pPr>
        <w:pStyle w:val="ListParagraph"/>
        <w:numPr>
          <w:ilvl w:val="0"/>
          <w:numId w:val="3"/>
        </w:numPr>
        <w:spacing w:after="60" w:line="264"/>
      </w:pPr>
      <w:r>
        <w:t xml:space="preserve">Propone un formato estructurado de traspaso.</w:t>
      </w:r>
    </w:p>
    <w:p>
      <w:pPr>
        <w:spacing w:after="120" w:line="276"/>
        <w:jc w:val="left"/>
      </w:pPr>
      <w:r>
        <w:rPr>
          <w:b/>
          <w:bCs/>
        </w:rPr>
        <w:t xml:space="preserve">Elementos que distinguen una respuesta excelente:</w:t>
      </w:r>
    </w:p>
    <w:p>
      <w:pPr>
        <w:pStyle w:val="ListParagraph"/>
        <w:numPr>
          <w:ilvl w:val="0"/>
          <w:numId w:val="3"/>
        </w:numPr>
        <w:spacing w:after="60" w:line="264"/>
      </w:pPr>
      <w:r>
        <w:t xml:space="preserve">Menciona el balance de fluidos y el riesgo ortostático.</w:t>
      </w:r>
    </w:p>
    <w:p>
      <w:pPr>
        <w:pStyle w:val="ListParagraph"/>
        <w:numPr>
          <w:ilvl w:val="0"/>
          <w:numId w:val="3"/>
        </w:numPr>
        <w:spacing w:after="60" w:line="264"/>
      </w:pPr>
      <w:r>
        <w:t xml:space="preserve">Incluye el riesgo de NVPO y las metas de oxigenación.</w:t>
      </w:r>
    </w:p>
    <w:p>
      <w:pPr>
        <w:spacing w:after="60"/>
      </w:pPr>
    </w:p>
    <w:p>
      <w:pPr>
        <w:pStyle w:val="Heading1"/>
        <w:pageBreakBefore/>
      </w:pPr>
      <w:r>
        <w:t xml:space="preserve">Anexo 1. Resumen de herramientas y umbrales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4260"/>
        <w:gridCol w:w="120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Dominio</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Herramienta</w:t>
            </w:r>
          </w:p>
        </w:tc>
        <w:tc>
          <w:tcPr>
            <w:tcW w:type="dxa" w:w="42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Valor de alerta</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Ref.</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Capacidad funcional autorreportada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METs / DASI</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&lt; 4 METs; DASI &lt; 34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color w:val="1F4E79"/>
                <w:sz w:val="18"/>
                <w:szCs w:val="18"/>
              </w:rPr>
              <w:t xml:space="preserve"> [30,33]</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Capacidad aeróbica (campo)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TM6M</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Bajo el valor predicho; &lt; 427 m sugiere UA bajo; cambio mínimo importante ≈ 25–33 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color w:val="1F4E79"/>
                <w:sz w:val="18"/>
                <w:szCs w:val="18"/>
              </w:rPr>
              <w:t xml:space="preserve"> [35,36,38]</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Capacidad aeróbica (laboratorio)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CPET</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UA &lt; 10–11 mL/kg/min; VE/VCO2 &gt; 34; resección pulmonar: VO2 máx &lt; 10 mL/kg/min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color w:val="1F4E79"/>
                <w:sz w:val="18"/>
                <w:szCs w:val="18"/>
              </w:rPr>
              <w:t xml:space="preserve"> [50,51,53]</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Fuerza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Prensión / sentarse-pararse 5 veces</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&lt; 27 kg (H) y &lt; 16 kg (M); &gt; 15 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color w:val="1F4E79"/>
                <w:sz w:val="18"/>
                <w:szCs w:val="18"/>
              </w:rPr>
              <w:t xml:space="preserve"> [40]</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Desempeño físico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SPPB / marcha / TUG</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 8 puntos; ≤ 0,8 m/s; ≥ 20 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color w:val="1F4E79"/>
                <w:sz w:val="18"/>
                <w:szCs w:val="18"/>
              </w:rPr>
              <w:t xml:space="preserve"> [40]</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Fragilidad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CFS / Fried / LFI</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CFS ≥ 5; Fried ≥ 3; LFI ≥ 4,5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color w:val="1F4E79"/>
                <w:sz w:val="18"/>
                <w:szCs w:val="18"/>
              </w:rPr>
              <w:t xml:space="preserve"> [48,81,84]</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Riesgo pulmonar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ARISCAT</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Intermedio 26–44; alto ≥ 45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color w:val="1F4E79"/>
                <w:sz w:val="18"/>
                <w:szCs w:val="18"/>
              </w:rPr>
              <w:t xml:space="preserve"> [69]</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Anemia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Hemoglobina</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&lt; 13 g/dL (ambos sexos)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color w:val="1F4E79"/>
                <w:sz w:val="18"/>
                <w:szCs w:val="18"/>
              </w:rPr>
              <w:t xml:space="preserve"> [11]</w:t>
            </w:r>
          </w:p>
        </w:tc>
      </w:tr>
      <w:tr>
        <w:trPr>
          <w:tblHeader w:val="false"/>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Nutrición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Aporte proteico</w:t>
            </w:r>
          </w:p>
        </w:tc>
        <w:tc>
          <w:tcPr>
            <w:tcW w:type="dxa" w:w="4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Meta 1,2–1,5 g/kg/día en enfermedad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color w:val="1F4E79"/>
                <w:sz w:val="18"/>
                <w:szCs w:val="18"/>
              </w:rPr>
              <w:t xml:space="preserve"> [6,7]</w:t>
            </w:r>
          </w:p>
        </w:tc>
      </w:tr>
    </w:tbl>
    <w:p>
      <w:pPr>
        <w:pStyle w:val="Heading1"/>
        <w:pageBreakBefore/>
      </w:pPr>
      <w:r>
        <w:t xml:space="preserve">Anexo 2. Hoja de corrección de preguntas de discusión</w:t>
      </w:r>
    </w:p>
    <w:p>
      <w:pPr>
        <w:spacing w:after="120" w:line="276"/>
        <w:jc w:val="both"/>
      </w:pPr>
      <w:r>
        <w:t xml:space="preserve">Registrar el nivel obtenido (0–4) en cada pregunta según la escala de la Presentación. El promedio por tema orienta el puntaje de los criterios de conocimiento de las pautas de la rotación.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100"/>
        <w:gridCol w:w="190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Tema</w:t>
            </w:r>
          </w:p>
        </w:tc>
        <w:tc>
          <w:tcPr>
            <w:tcW w:type="dxa" w:w="4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Pregunta</w:t>
            </w:r>
          </w:p>
        </w:tc>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Nivel (0–4)</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jc w:val="left"/>
            </w:pPr>
            <w:r>
              <w:rPr>
                <w:b/>
                <w:bCs/>
                <w:color w:val="FFFFFF"/>
                <w:sz w:val="18"/>
                <w:szCs w:val="18"/>
              </w:rPr>
              <w:t xml:space="preserve">Observaciones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1. Concepto de prehabilitación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¿Qué pacientes se benefician más de la prehabilitación y cuáles probablemente no?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¿Cuál es el tiempo mínimo útil de prehabilitación? ¿Se justifica postergar una cirugía oncológica para prehabilitar?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2. Evaluación funcional</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¿Qué aporta el TM6M que no aporta la pregunta «¿puede subir dos pisos?»?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Si el paciente no puede caminar por dolor o claudicación, ¿qué alternativas de evaluación existen?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3. Capacidad aeróbica y CPET</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Paciente con UA de 9 mL/kg/min programado para una gastrectomía: ¿qué cambia en su plan anestésico y en su destino postoperatorio?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¿Qué hacer cuando no hay CPET disponible?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4. Importancia del ejercicio de fuerza</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¿Por qué un programa solo aeróbico puede ser insuficiente en el adulto mayor sarcopénico?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¿Qué precauciones de ejercicio de fuerza considera en el paciente cardiópata o con metástasis óseas?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5. Rehabilitación respiratoria</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¿Qué factores del ARISCAT son modificables por el anestesiólogo?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¿Cómo influye el tipo de analgesia en la función respiratoria tras una toracotomía o una laparotomía supraumbilical?</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6. Fragilidad</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¿La fragilidad es reversible? ¿Qué componentes pueden modificarse en 4 semanas?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¿Cómo cambia el manejo anestésico en un paciente frágil (dosis, profundidad anestésica, prevención del delirio)?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7. Movilización precoz</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¿Qué técnica analgésica elegiría en una hepatectomía abierta para favorecer la movilización?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¿Cuándo está contraindicado movilizar a un paciente postoperado?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8. Rol del kinesiólogo en medicina perioperatoria</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sz w:val="18"/>
                <w:szCs w:val="18"/>
              </w:rPr>
              <w:t xml:space="preserve">¿Qué información del intraoperatorio es útil para el kinesiólogo que moviliza al paciente al día siguiente?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r>
    </w:tbl>
    <w:p>
      <w:pPr>
        <w:spacing w:after="60"/>
      </w:pPr>
    </w:p>
    <w:p>
      <w:pPr>
        <w:spacing w:after="120" w:line="276"/>
        <w:jc w:val="left"/>
      </w:pPr>
      <w:r>
        <w:t xml:space="preserve">Residente: ______________________   Evaluador: ______________________   Fecha: ____________</w:t>
      </w:r>
    </w:p>
    <w:p>
      <w:pPr>
        <w:pStyle w:val="Heading1"/>
        <w:pageBreakBefore/>
      </w:pPr>
      <w:r>
        <w:t xml:space="preserve">Referencias</w:t>
      </w:r>
    </w:p>
    <w:p>
      <w:pPr>
        <w:pStyle w:val="ListParagraph"/>
        <w:numPr>
          <w:ilvl w:val="0"/>
          <w:numId w:val="4"/>
        </w:numPr>
        <w:spacing w:after="80"/>
      </w:pPr>
      <w:r>
        <w:rPr>
          <w:sz w:val="18"/>
          <w:szCs w:val="18"/>
        </w:rPr>
        <w:t xml:space="preserve">Silver JK, Baima J. Cancer prehabilitation: an opportunity to decrease treatment-related morbidity, increase cancer treatment options, and improve physical and psychological health outcomes. Am J Phys Med Rehabil. 2013;92(8):715-27. doi:10.1097/PHM.0b013e31829b4afe. PMID: 23756434.</w:t>
      </w:r>
    </w:p>
    <w:p>
      <w:pPr>
        <w:pStyle w:val="ListParagraph"/>
        <w:numPr>
          <w:ilvl w:val="0"/>
          <w:numId w:val="4"/>
        </w:numPr>
        <w:spacing w:after="80"/>
      </w:pPr>
      <w:r>
        <w:rPr>
          <w:sz w:val="18"/>
          <w:szCs w:val="18"/>
        </w:rPr>
        <w:t xml:space="preserve">Carli F, Scheede-Bergdahl C. Prehabilitation to enhance perioperative care. Anesthesiol Clin. 2015;33(1):17-33. doi:10.1016/j.anclin.2014.11.002. PMID: 25701926.</w:t>
      </w:r>
    </w:p>
    <w:p>
      <w:pPr>
        <w:pStyle w:val="ListParagraph"/>
        <w:numPr>
          <w:ilvl w:val="0"/>
          <w:numId w:val="4"/>
        </w:numPr>
        <w:spacing w:after="80"/>
      </w:pPr>
      <w:r>
        <w:rPr>
          <w:sz w:val="18"/>
          <w:szCs w:val="18"/>
        </w:rPr>
        <w:t xml:space="preserve">Gillis C, Ljungqvist O, Carli F. Prehabilitation, enhanced recovery after surgery, or both? A narrative review. Br J Anaesth. 2022;128(3):434-448. doi:10.1016/j.bja.2021.12.007. PMID: 35012741.</w:t>
      </w:r>
    </w:p>
    <w:p>
      <w:pPr>
        <w:pStyle w:val="ListParagraph"/>
        <w:numPr>
          <w:ilvl w:val="0"/>
          <w:numId w:val="4"/>
        </w:numPr>
        <w:spacing w:after="80"/>
      </w:pPr>
      <w:r>
        <w:rPr>
          <w:sz w:val="18"/>
          <w:szCs w:val="18"/>
        </w:rPr>
        <w:t xml:space="preserve">Ljungqvist O, Scott M, Fearon KC. Enhanced Recovery After Surgery: A Review. JAMA Surg. 2017;152(3):292-298. doi:10.1001/jamasurg.2016.4952. PMID: 28097305.</w:t>
      </w:r>
    </w:p>
    <w:p>
      <w:pPr>
        <w:pStyle w:val="ListParagraph"/>
        <w:numPr>
          <w:ilvl w:val="0"/>
          <w:numId w:val="4"/>
        </w:numPr>
        <w:spacing w:after="80"/>
      </w:pPr>
      <w:r>
        <w:rPr>
          <w:sz w:val="18"/>
          <w:szCs w:val="18"/>
        </w:rPr>
        <w:t xml:space="preserve">Carli F, Zavorsky GS. Optimizing functional exercise capacity in the elderly surgical population. Curr Opin Clin Nutr Metab Care. 2005;8(1):23-32. doi:10.1097/00075197-200501000-00005. PMID: 15585997.</w:t>
      </w:r>
    </w:p>
    <w:p>
      <w:pPr>
        <w:pStyle w:val="ListParagraph"/>
        <w:numPr>
          <w:ilvl w:val="0"/>
          <w:numId w:val="4"/>
        </w:numPr>
        <w:spacing w:after="80"/>
      </w:pPr>
      <w:r>
        <w:rPr>
          <w:sz w:val="18"/>
          <w:szCs w:val="18"/>
        </w:rPr>
        <w:t xml:space="preserve">Bauer J, Biolo G, Cederholm T, Cesari M, Cruz-Jentoft AJ, Morley JE, et al. Evidence-based recommendations for optimal dietary protein intake in older people: a position paper from the PROT-AGE Study Group. J Am Med Dir Assoc. 2013;14(8):542-59. doi:10.1016/j.jamda.2013.05.021. PMID: 23867520.</w:t>
      </w:r>
    </w:p>
    <w:p>
      <w:pPr>
        <w:pStyle w:val="ListParagraph"/>
        <w:numPr>
          <w:ilvl w:val="0"/>
          <w:numId w:val="4"/>
        </w:numPr>
        <w:spacing w:after="80"/>
      </w:pPr>
      <w:r>
        <w:rPr>
          <w:sz w:val="18"/>
          <w:szCs w:val="18"/>
        </w:rPr>
        <w:t xml:space="preserve">Weimann A, Braga M, Carli F, Higashiguchi T, Hübner M, Klek S, et al. ESPEN practical guideline: Clinical nutrition in surgery. Clin Nutr. 2021;40(7):4745-4761. doi:10.1016/j.clnu.2021.03.031. PMID: 34242915.</w:t>
      </w:r>
    </w:p>
    <w:p>
      <w:pPr>
        <w:pStyle w:val="ListParagraph"/>
        <w:numPr>
          <w:ilvl w:val="0"/>
          <w:numId w:val="4"/>
        </w:numPr>
        <w:spacing w:after="80"/>
      </w:pPr>
      <w:r>
        <w:rPr>
          <w:sz w:val="18"/>
          <w:szCs w:val="18"/>
        </w:rPr>
        <w:t xml:space="preserve">Levett DZH, Grimmett C. Psychological factors, prehabilitation and surgical outcomes: evidence and future directions. Anaesthesia. 2019;74 Suppl 1:36-42. doi:10.1111/anae.14507. PMID: 30604423.</w:t>
      </w:r>
    </w:p>
    <w:p>
      <w:pPr>
        <w:pStyle w:val="ListParagraph"/>
        <w:numPr>
          <w:ilvl w:val="0"/>
          <w:numId w:val="4"/>
        </w:numPr>
        <w:spacing w:after="80"/>
      </w:pPr>
      <w:r>
        <w:rPr>
          <w:sz w:val="18"/>
          <w:szCs w:val="18"/>
        </w:rPr>
        <w:t xml:space="preserve">Mills E, Eyawo O, Lockhart I, Kelly S, Wu P, Ebbert JO. Smoking cessation reduces postoperative complications: a systematic review and meta-analysis. Am J Med. 2011;124(2):144-154.e8. doi:10.1016/j.amjmed.2010.09.013. PMID: 21295194.</w:t>
      </w:r>
    </w:p>
    <w:p>
      <w:pPr>
        <w:pStyle w:val="ListParagraph"/>
        <w:numPr>
          <w:ilvl w:val="0"/>
          <w:numId w:val="4"/>
        </w:numPr>
        <w:spacing w:after="80"/>
      </w:pPr>
      <w:r>
        <w:rPr>
          <w:sz w:val="18"/>
          <w:szCs w:val="18"/>
        </w:rPr>
        <w:t xml:space="preserve">Egholm JW, Pedersen B, Møller AM, Adami J, Juhl CB, Tønnesen H. Perioperative alcohol cessation intervention for postoperative complications. Cochrane Database Syst Rev. 2018;(11):CD008343. doi:10.1002/14651858.CD008343.pub3. PMID: 30408162.</w:t>
      </w:r>
    </w:p>
    <w:p>
      <w:pPr>
        <w:pStyle w:val="ListParagraph"/>
        <w:numPr>
          <w:ilvl w:val="0"/>
          <w:numId w:val="4"/>
        </w:numPr>
        <w:spacing w:after="80"/>
      </w:pPr>
      <w:r>
        <w:rPr>
          <w:sz w:val="18"/>
          <w:szCs w:val="18"/>
        </w:rPr>
        <w:t xml:space="preserve">Muñoz M, Acheson AG, Auerbach M, Besser M, Habler O, Kehlet H, et al. International consensus statement on the peri-operative management of anaemia and iron deficiency. Anaesthesia. 2017;72(2):233-247. doi:10.1111/anae.13773. PMID: 27996086.</w:t>
      </w:r>
    </w:p>
    <w:p>
      <w:pPr>
        <w:pStyle w:val="ListParagraph"/>
        <w:numPr>
          <w:ilvl w:val="0"/>
          <w:numId w:val="4"/>
        </w:numPr>
        <w:spacing w:after="80"/>
      </w:pPr>
      <w:r>
        <w:rPr>
          <w:sz w:val="18"/>
          <w:szCs w:val="18"/>
        </w:rPr>
        <w:t xml:space="preserve">Gillis C, Li C, Lee L, Awasthi R, Augustin B, Gamsa A, et al. Prehabilitation versus rehabilitation: a randomized control trial in patients undergoing colorectal resection for cancer. Anesthesiology. 2014;121(5):937-47. doi:10.1097/ALN.0000000000000393. PMID: 25076007.</w:t>
      </w:r>
    </w:p>
    <w:p>
      <w:pPr>
        <w:pStyle w:val="ListParagraph"/>
        <w:numPr>
          <w:ilvl w:val="0"/>
          <w:numId w:val="4"/>
        </w:numPr>
        <w:spacing w:after="80"/>
      </w:pPr>
      <w:r>
        <w:rPr>
          <w:sz w:val="18"/>
          <w:szCs w:val="18"/>
        </w:rPr>
        <w:t xml:space="preserve">West MA, Loughney L, Lythgoe D, Barben CP, Sripadam R, Kemp GJ, et al. Effect of prehabilitation on objectively measured physical fitness after neoadjuvant treatment in preoperative rectal cancer patients: a blinded interventional pilot study. Br J Anaesth. 2015;114(2):244-51. doi:10.1093/bja/aeu318. PMID: 25274049.</w:t>
      </w:r>
    </w:p>
    <w:p>
      <w:pPr>
        <w:pStyle w:val="ListParagraph"/>
        <w:numPr>
          <w:ilvl w:val="0"/>
          <w:numId w:val="4"/>
        </w:numPr>
        <w:spacing w:after="80"/>
      </w:pPr>
      <w:r>
        <w:rPr>
          <w:sz w:val="18"/>
          <w:szCs w:val="18"/>
        </w:rPr>
        <w:t xml:space="preserve">Barberan-Garcia A, Ubré M, Roca J, Lacy AM, Burgos F, Risco R, et al. Personalised Prehabilitation in High-risk Patients Undergoing Elective Major Abdominal Surgery: A Randomized Blinded Controlled Trial. Ann Surg. 2018;267(1):50-56. doi:10.1097/SLA.0000000000002293. PMID: 28489682.</w:t>
      </w:r>
    </w:p>
    <w:p>
      <w:pPr>
        <w:pStyle w:val="ListParagraph"/>
        <w:numPr>
          <w:ilvl w:val="0"/>
          <w:numId w:val="4"/>
        </w:numPr>
        <w:spacing w:after="80"/>
      </w:pPr>
      <w:r>
        <w:rPr>
          <w:sz w:val="18"/>
          <w:szCs w:val="18"/>
        </w:rPr>
        <w:t xml:space="preserve">Minnella EM, Awasthi R, Loiselle SE, Agnihotram RV, Ferri LE, Carli F. Effect of Exercise and Nutrition Prehabilitation on Functional Capacity in Esophagogastric Cancer Surgery: A Randomized Clinical Trial. JAMA Surg. 2018;153(12):1081-1089. doi:10.1001/jamasurg.2018.1645. PMID: 30193337.</w:t>
      </w:r>
    </w:p>
    <w:p>
      <w:pPr>
        <w:pStyle w:val="ListParagraph"/>
        <w:numPr>
          <w:ilvl w:val="0"/>
          <w:numId w:val="4"/>
        </w:numPr>
        <w:spacing w:after="80"/>
      </w:pPr>
      <w:r>
        <w:rPr>
          <w:sz w:val="18"/>
          <w:szCs w:val="18"/>
        </w:rPr>
        <w:t xml:space="preserve">Dunne DF, Jack S, Jones RP, Jones L, Lythgoe DT, Malik HZ, et al. Randomized clinical trial of prehabilitation before planned liver resection. Br J Surg. 2016;103(5):504-12. doi:10.1002/bjs.10096. PMID: 26864728.</w:t>
      </w:r>
    </w:p>
    <w:p>
      <w:pPr>
        <w:pStyle w:val="ListParagraph"/>
        <w:numPr>
          <w:ilvl w:val="0"/>
          <w:numId w:val="4"/>
        </w:numPr>
        <w:spacing w:after="80"/>
      </w:pPr>
      <w:r>
        <w:rPr>
          <w:sz w:val="18"/>
          <w:szCs w:val="18"/>
        </w:rPr>
        <w:t xml:space="preserve">Carli F, Bousquet-Dion G, Awasthi R, Elsherbini N, Liberman S, Boutros M, et al. Effect of Multimodal Prehabilitation vs Postoperative Rehabilitation on 30-Day Postoperative Complications for Frail Patients Undergoing Resection of Colorectal Cancer: A Randomized Clinical Trial. JAMA Surg. 2020;155(3):233-242. doi:10.1001/jamasurg.2019.5474. PMID: 31968063.</w:t>
      </w:r>
    </w:p>
    <w:p>
      <w:pPr>
        <w:pStyle w:val="ListParagraph"/>
        <w:numPr>
          <w:ilvl w:val="0"/>
          <w:numId w:val="4"/>
        </w:numPr>
        <w:spacing w:after="80"/>
      </w:pPr>
      <w:r>
        <w:rPr>
          <w:sz w:val="18"/>
          <w:szCs w:val="18"/>
        </w:rPr>
        <w:t xml:space="preserve">McIsaac DI, Hladkowicz E, Bryson GL, Forster AJ, Gagne S, Huang A, et al. Home-based prehabilitation with exercise to improve postoperative recovery for older adults with frailty having cancer surgery: the PREHAB randomised clinical trial. Br J Anaesth. 2022;129(1):41-48. doi:10.1016/j.bja.2022.04.006. PMID: 35589429.</w:t>
      </w:r>
    </w:p>
    <w:p>
      <w:pPr>
        <w:pStyle w:val="ListParagraph"/>
        <w:numPr>
          <w:ilvl w:val="0"/>
          <w:numId w:val="4"/>
        </w:numPr>
        <w:spacing w:after="80"/>
      </w:pPr>
      <w:r>
        <w:rPr>
          <w:sz w:val="18"/>
          <w:szCs w:val="18"/>
        </w:rPr>
        <w:t xml:space="preserve">Molenaar CJL, Minnella EM, Coca-Martinez M, Ten Cate DWG, Regis M, Awasthi R, et al. Effect of Multimodal Prehabilitation on Reducing Postoperative Complications and Enhancing Functional Capacity Following Colorectal Cancer Surgery: The PREHAB Randomized Clinical Trial. JAMA Surg. 2023;158(6):572-581. doi:10.1001/jamasurg.2023.0198. PMID: 36988937.</w:t>
      </w:r>
    </w:p>
    <w:p>
      <w:pPr>
        <w:pStyle w:val="ListParagraph"/>
        <w:numPr>
          <w:ilvl w:val="0"/>
          <w:numId w:val="4"/>
        </w:numPr>
        <w:spacing w:after="80"/>
      </w:pPr>
      <w:r>
        <w:rPr>
          <w:sz w:val="18"/>
          <w:szCs w:val="18"/>
        </w:rPr>
        <w:t xml:space="preserve">Hughes MJ, Hackney RJ, Lamb PJ, Wigmore SJ, Christopher Deans DA, Skipworth RJE. Prehabilitation Before Major Abdominal Surgery: A Systematic Review and Meta-analysis. World J Surg. 2019;43(7):1661-1668. doi:10.1007/s00268-019-04950-y. PMID: 30788536.</w:t>
      </w:r>
    </w:p>
    <w:p>
      <w:pPr>
        <w:pStyle w:val="ListParagraph"/>
        <w:numPr>
          <w:ilvl w:val="0"/>
          <w:numId w:val="4"/>
        </w:numPr>
        <w:spacing w:after="80"/>
      </w:pPr>
      <w:r>
        <w:rPr>
          <w:sz w:val="18"/>
          <w:szCs w:val="18"/>
        </w:rPr>
        <w:t xml:space="preserve">Lambert JE, Hayes LD, Keegan TJ, Subar DA, Gaffney CJ. The Impact of Prehabilitation on Patient Outcomes in Hepatobiliary, Colorectal, and Upper Gastrointestinal Cancer Surgery: A PRISMA-Accordant Meta-analysis. Ann Surg. 2021;274(1):70-77. doi:10.1097/SLA.0000000000004527. PMID: 33201129.</w:t>
      </w:r>
    </w:p>
    <w:p>
      <w:pPr>
        <w:pStyle w:val="ListParagraph"/>
        <w:numPr>
          <w:ilvl w:val="0"/>
          <w:numId w:val="4"/>
        </w:numPr>
        <w:spacing w:after="80"/>
      </w:pPr>
      <w:r>
        <w:rPr>
          <w:sz w:val="18"/>
          <w:szCs w:val="18"/>
        </w:rPr>
        <w:t xml:space="preserve">Gillis C, Buhler K, Bresee L, Carli F, Gramlich L, Culos-Reed N, et al. Effects of Nutritional Prehabilitation, With and Without Exercise, on Outcomes of Patients Who Undergo Colorectal Surgery: A Systematic Review and Meta-analysis. Gastroenterology. 2018;155(2):391-410.e4. doi:10.1053/j.gastro.2018.05.012. PMID: 29750973.</w:t>
      </w:r>
    </w:p>
    <w:p>
      <w:pPr>
        <w:pStyle w:val="ListParagraph"/>
        <w:numPr>
          <w:ilvl w:val="0"/>
          <w:numId w:val="4"/>
        </w:numPr>
        <w:spacing w:after="80"/>
      </w:pPr>
      <w:r>
        <w:rPr>
          <w:sz w:val="18"/>
          <w:szCs w:val="18"/>
        </w:rPr>
        <w:t xml:space="preserve">Grocott MPW, Plumb JOM, Edwards M, Fecher-Jones I, Levett DZH. Re-designing the pathway to surgery: better care and added value. Perioper Med (Lond). 2017;6:9. doi:10.1186/s13741-017-0065-4. PMID: 28649376.</w:t>
      </w:r>
    </w:p>
    <w:p>
      <w:pPr>
        <w:pStyle w:val="ListParagraph"/>
        <w:numPr>
          <w:ilvl w:val="0"/>
          <w:numId w:val="4"/>
        </w:numPr>
        <w:spacing w:after="80"/>
      </w:pPr>
      <w:r>
        <w:rPr>
          <w:sz w:val="18"/>
          <w:szCs w:val="18"/>
        </w:rPr>
        <w:t xml:space="preserve">Levett DZ, Edwards M, Grocott M, Mythen M. Preparing the patient for surgery to improve outcomes. Best Pract Res Clin Anaesthesiol. 2016;30(2):145-57. doi:10.1016/j.bpa.2016.04.002. PMID: 27396803.</w:t>
      </w:r>
    </w:p>
    <w:p>
      <w:pPr>
        <w:pStyle w:val="ListParagraph"/>
        <w:numPr>
          <w:ilvl w:val="0"/>
          <w:numId w:val="4"/>
        </w:numPr>
        <w:spacing w:after="80"/>
      </w:pPr>
      <w:r>
        <w:rPr>
          <w:sz w:val="18"/>
          <w:szCs w:val="18"/>
        </w:rPr>
        <w:t xml:space="preserve">Macmillan Cancer Support, Royal College of Anaesthetists, National Institute for Health Research Cancer and Nutrition Collaboration. Principles and guidance for prehabilitation within the management and support of people with cancer. Londres: Macmillan Cancer Support; 2019.</w:t>
      </w:r>
    </w:p>
    <w:p>
      <w:pPr>
        <w:pStyle w:val="ListParagraph"/>
        <w:numPr>
          <w:ilvl w:val="0"/>
          <w:numId w:val="4"/>
        </w:numPr>
        <w:spacing w:after="80"/>
      </w:pPr>
      <w:r>
        <w:rPr>
          <w:sz w:val="18"/>
          <w:szCs w:val="18"/>
        </w:rPr>
        <w:t xml:space="preserve">Minnella EM, Awasthi R, Gillis C, Fiore JF, Liberman AS, Charlebois P, et al. Patients with poor baseline walking capacity are most likely to improve their functional status with multimodal prehabilitation. Surgery. 2016;160(4):1070-1079. doi:10.1016/j.surg.2016.05.036. PMID: 27476586.</w:t>
      </w:r>
    </w:p>
    <w:p>
      <w:pPr>
        <w:pStyle w:val="ListParagraph"/>
        <w:numPr>
          <w:ilvl w:val="0"/>
          <w:numId w:val="4"/>
        </w:numPr>
        <w:spacing w:after="80"/>
      </w:pPr>
      <w:r>
        <w:rPr>
          <w:sz w:val="18"/>
          <w:szCs w:val="18"/>
        </w:rPr>
        <w:t xml:space="preserve">Molenaar CJL, Janssen L, van der Peet DL, Winter DC, Roumen RMH, Slooter GD. Conflicting Guidelines: A Systematic Review on the Proper Interval for Colorectal Cancer Treatment. World J Surg. 2021;45(7):2235-2250. doi:10.1007/s00268-021-06075-7. PMID: 33813632.</w:t>
      </w:r>
    </w:p>
    <w:p>
      <w:pPr>
        <w:pStyle w:val="ListParagraph"/>
        <w:numPr>
          <w:ilvl w:val="0"/>
          <w:numId w:val="4"/>
        </w:numPr>
        <w:spacing w:after="80"/>
      </w:pPr>
      <w:r>
        <w:rPr>
          <w:sz w:val="18"/>
          <w:szCs w:val="18"/>
        </w:rPr>
        <w:t xml:space="preserve">Wijeysundera DN, Pearse RM, Shulman MA, Abbott TEF, Torres E, Ambosta A, et al. Assessment of functional capacity before major non-cardiac surgery: an international, prospective cohort study. Lancet. 2018;391(10140):2631-2640. doi:10.1016/S0140-6736(18)31131-0. PMID: 30070222.</w:t>
      </w:r>
    </w:p>
    <w:p>
      <w:pPr>
        <w:pStyle w:val="ListParagraph"/>
        <w:numPr>
          <w:ilvl w:val="0"/>
          <w:numId w:val="4"/>
        </w:numPr>
        <w:spacing w:after="80"/>
      </w:pPr>
      <w:r>
        <w:rPr>
          <w:sz w:val="18"/>
          <w:szCs w:val="18"/>
        </w:rPr>
        <w:t xml:space="preserve">Jetté M, Sidney K, Blümchen G. Metabolic equivalents (METS) in exercise testing, exercise prescription, and evaluation of functional capacity. Clin Cardiol. 1990;13(8):555-65. doi:10.1002/clc.4960130809. PMID: 2204507.</w:t>
      </w:r>
    </w:p>
    <w:p>
      <w:pPr>
        <w:pStyle w:val="ListParagraph"/>
        <w:numPr>
          <w:ilvl w:val="0"/>
          <w:numId w:val="4"/>
        </w:numPr>
        <w:spacing w:after="80"/>
      </w:pPr>
      <w:r>
        <w:rPr>
          <w:sz w:val="18"/>
          <w:szCs w:val="18"/>
        </w:rPr>
        <w:t xml:space="preserve">Halvorsen S, Mehilli J, Cassese S, Hall TS, Abdelhamid M, Barbato E, et al. 2022 ESC Guidelines on cardiovascular assessment and management of patients undergoing non-cardiac surgery. Eur Heart J. 2022;43(39):3826-3924. doi:10.1093/eurheartj/ehac270. PMID: 36017553.</w:t>
      </w:r>
    </w:p>
    <w:p>
      <w:pPr>
        <w:pStyle w:val="ListParagraph"/>
        <w:numPr>
          <w:ilvl w:val="0"/>
          <w:numId w:val="4"/>
        </w:numPr>
        <w:spacing w:after="80"/>
      </w:pPr>
      <w:r>
        <w:rPr>
          <w:sz w:val="18"/>
          <w:szCs w:val="18"/>
        </w:rPr>
        <w:t xml:space="preserve">Thompson A, Fleischmann KE, Smilowitz NR, de Las Fuentes L, Mukherjee D, Aggarwal NR, et al. 2024 AHA/ACC/ACS/ASNC/HRS/SCA/SCCT/SCMR/SVM Guideline for Perioperative Cardiovascular Management for Noncardiac Surgery: A Report of the American College of Cardiology/American Heart Association Joint Committee on Clinical Practice Guidelines. Circulation. 2024;150(19):e351-e442. doi:10.1161/CIR.0000000000001285. PMID: 39316661.</w:t>
      </w:r>
    </w:p>
    <w:p>
      <w:pPr>
        <w:pStyle w:val="ListParagraph"/>
        <w:numPr>
          <w:ilvl w:val="0"/>
          <w:numId w:val="4"/>
        </w:numPr>
        <w:spacing w:after="80"/>
      </w:pPr>
      <w:r>
        <w:rPr>
          <w:sz w:val="18"/>
          <w:szCs w:val="18"/>
        </w:rPr>
        <w:t xml:space="preserve">Hlatky MA, Boineau RE, Higginbotham MB, Lee KL, Mark DB, Califf RM, et al. A brief self-administered questionnaire to determine functional capacity (the Duke Activity Status Index). Am J Cardiol. 1989;64(10):651-4. doi:10.1016/0002-9149(89)90496-7. PMID: 2782256.</w:t>
      </w:r>
    </w:p>
    <w:p>
      <w:pPr>
        <w:pStyle w:val="ListParagraph"/>
        <w:numPr>
          <w:ilvl w:val="0"/>
          <w:numId w:val="4"/>
        </w:numPr>
        <w:spacing w:after="80"/>
      </w:pPr>
      <w:r>
        <w:rPr>
          <w:sz w:val="18"/>
          <w:szCs w:val="18"/>
        </w:rPr>
        <w:t xml:space="preserve">Wijeysundera DN, Beattie WS, Hillis GS, Abbott TEF, Shulman MA, Ackland GL, et al. Integration of the Duke Activity Status Index into preoperative risk evaluation: a multicentre prospective cohort study. Br J Anaesth. 2020;124(3):261-270. doi:10.1016/j.bja.2019.11.025. PMID: 31864719.</w:t>
      </w:r>
    </w:p>
    <w:p>
      <w:pPr>
        <w:pStyle w:val="ListParagraph"/>
        <w:numPr>
          <w:ilvl w:val="0"/>
          <w:numId w:val="4"/>
        </w:numPr>
        <w:spacing w:after="80"/>
      </w:pPr>
      <w:r>
        <w:rPr>
          <w:sz w:val="18"/>
          <w:szCs w:val="18"/>
        </w:rPr>
        <w:t xml:space="preserve">ATS Committee on Proficiency Standards for Clinical Pulmonary Function Laboratories. ATS statement: guidelines for the six-minute walk test. Am J Respir Crit Care Med. 2002;166(1):111-7. doi:10.1164/ajrccm.166.1.at1102. PMID: 12091180.</w:t>
      </w:r>
    </w:p>
    <w:p>
      <w:pPr>
        <w:pStyle w:val="ListParagraph"/>
        <w:numPr>
          <w:ilvl w:val="0"/>
          <w:numId w:val="4"/>
        </w:numPr>
        <w:spacing w:after="80"/>
      </w:pPr>
      <w:r>
        <w:rPr>
          <w:sz w:val="18"/>
          <w:szCs w:val="18"/>
        </w:rPr>
        <w:t xml:space="preserve">Holland AE, Spruit MA, Troosters T, Puhan MA, Pepin V, Saey D, et al. An official European Respiratory Society/American Thoracic Society technical standard: field walking tests in chronic respiratory disease. Eur Respir J. 2014;44(6):1428-46. doi:10.1183/09031936.00150314. PMID: 25359355.</w:t>
      </w:r>
    </w:p>
    <w:p>
      <w:pPr>
        <w:pStyle w:val="ListParagraph"/>
        <w:numPr>
          <w:ilvl w:val="0"/>
          <w:numId w:val="4"/>
        </w:numPr>
        <w:spacing w:after="80"/>
      </w:pPr>
      <w:r>
        <w:rPr>
          <w:sz w:val="18"/>
          <w:szCs w:val="18"/>
        </w:rPr>
        <w:t xml:space="preserve">Osses R, Yáñez J, Barría P, Palacios S, Dreyse J, Díaz O, et al. Prueba de caminata en seis minutos en sujetos chilenos sanos de 20 a 80 años. Rev Med Chil. 2010;138(9):1124-30. PMID: 21249280.</w:t>
      </w:r>
    </w:p>
    <w:p>
      <w:pPr>
        <w:pStyle w:val="ListParagraph"/>
        <w:numPr>
          <w:ilvl w:val="0"/>
          <w:numId w:val="4"/>
        </w:numPr>
        <w:spacing w:after="80"/>
      </w:pPr>
      <w:r>
        <w:rPr>
          <w:sz w:val="18"/>
          <w:szCs w:val="18"/>
        </w:rPr>
        <w:t xml:space="preserve">Enright PL, Sherrill DL. Reference equations for the six-minute walk in healthy adults. Am J Respir Crit Care Med. 1998;158(5 Pt 1):1384-7. doi:10.1164/ajrccm.158.5.9710086. PMID: 9817683.</w:t>
      </w:r>
    </w:p>
    <w:p>
      <w:pPr>
        <w:pStyle w:val="ListParagraph"/>
        <w:numPr>
          <w:ilvl w:val="0"/>
          <w:numId w:val="4"/>
        </w:numPr>
        <w:spacing w:after="80"/>
      </w:pPr>
      <w:r>
        <w:rPr>
          <w:sz w:val="18"/>
          <w:szCs w:val="18"/>
        </w:rPr>
        <w:t xml:space="preserve">Sinclair RC, Batterham AM, Davies S, Cawthorn L, Danjoux GR. Validity of the 6 min walk test in prediction of the anaerobic threshold before major non-cardiac surgery. Br J Anaesth. 2012;108(1):30-5. doi:10.1093/bja/aer322. PMID: 21980122.</w:t>
      </w:r>
    </w:p>
    <w:p>
      <w:pPr>
        <w:pStyle w:val="ListParagraph"/>
        <w:numPr>
          <w:ilvl w:val="0"/>
          <w:numId w:val="4"/>
        </w:numPr>
        <w:spacing w:after="80"/>
      </w:pPr>
      <w:r>
        <w:rPr>
          <w:sz w:val="18"/>
          <w:szCs w:val="18"/>
        </w:rPr>
        <w:t xml:space="preserve">Roberts HC, Denison HJ, Martin HJ, Patel HP, Syddall H, Cooper C, et al. A review of the measurement of grip strength in clinical and epidemiological studies: towards a standardised approach. Age Ageing. 2011;40(4):423-9. doi:10.1093/ageing/afr051. PMID: 21624928.</w:t>
      </w:r>
    </w:p>
    <w:p>
      <w:pPr>
        <w:pStyle w:val="ListParagraph"/>
        <w:numPr>
          <w:ilvl w:val="0"/>
          <w:numId w:val="4"/>
        </w:numPr>
        <w:spacing w:after="80"/>
      </w:pPr>
      <w:r>
        <w:rPr>
          <w:sz w:val="18"/>
          <w:szCs w:val="18"/>
        </w:rPr>
        <w:t xml:space="preserve">Cruz-Jentoft AJ, Bahat G, Bauer J, Boirie Y, Bruyère O, Cederholm T, et al. Sarcopenia: revised European consensus on definition and diagnosis. Age Ageing. 2019;48(1):16-31. doi:10.1093/ageing/afy169. PMID: 30312372.</w:t>
      </w:r>
    </w:p>
    <w:p>
      <w:pPr>
        <w:pStyle w:val="ListParagraph"/>
        <w:numPr>
          <w:ilvl w:val="0"/>
          <w:numId w:val="4"/>
        </w:numPr>
        <w:spacing w:after="80"/>
      </w:pPr>
      <w:r>
        <w:rPr>
          <w:sz w:val="18"/>
          <w:szCs w:val="18"/>
        </w:rPr>
        <w:t xml:space="preserve">Jones CJ, Rikli RE, Beam WC. A 30-s chair-stand test as a measure of lower body strength in community-residing older adults. Res Q Exerc Sport. 1999;70(2):113-9. doi:10.1080/02701367.1999.10608028. PMID: 10380242.</w:t>
      </w:r>
    </w:p>
    <w:p>
      <w:pPr>
        <w:pStyle w:val="ListParagraph"/>
        <w:numPr>
          <w:ilvl w:val="0"/>
          <w:numId w:val="4"/>
        </w:numPr>
        <w:spacing w:after="80"/>
      </w:pPr>
      <w:r>
        <w:rPr>
          <w:sz w:val="18"/>
          <w:szCs w:val="18"/>
        </w:rPr>
        <w:t xml:space="preserve">Guralnik JM, Simonsick EM, Ferrucci L, Glynn RJ, Berkman LF, Blazer DG, et al. A short physical performance battery assessing lower extremity function: association with self-reported disability and prediction of mortality and nursing home admission. J Gerontol. 1994;49(2):M85-94. doi:10.1093/geronj/49.2.m85. PMID: 8126356.</w:t>
      </w:r>
    </w:p>
    <w:p>
      <w:pPr>
        <w:pStyle w:val="ListParagraph"/>
        <w:numPr>
          <w:ilvl w:val="0"/>
          <w:numId w:val="4"/>
        </w:numPr>
        <w:spacing w:after="80"/>
      </w:pPr>
      <w:r>
        <w:rPr>
          <w:sz w:val="18"/>
          <w:szCs w:val="18"/>
        </w:rPr>
        <w:t xml:space="preserve">Studenski S, Perera S, Patel K, Rosano C, Faulkner K, Inzitari M, et al. Gait speed and survival in older adults. JAMA. 2011;305(1):50-8. doi:10.1001/jama.2010.1923. PMID: 21205966.</w:t>
      </w:r>
    </w:p>
    <w:p>
      <w:pPr>
        <w:pStyle w:val="ListParagraph"/>
        <w:numPr>
          <w:ilvl w:val="0"/>
          <w:numId w:val="4"/>
        </w:numPr>
        <w:spacing w:after="80"/>
      </w:pPr>
      <w:r>
        <w:rPr>
          <w:sz w:val="18"/>
          <w:szCs w:val="18"/>
        </w:rPr>
        <w:t xml:space="preserve">Podsiadlo D, Richardson S. The timed "Up &amp; Go": a test of basic functional mobility for frail elderly persons. J Am Geriatr Soc. 1991;39(2):142-8. doi:10.1111/j.1532-5415.1991.tb01616.x. PMID: 1991946.</w:t>
      </w:r>
    </w:p>
    <w:p>
      <w:pPr>
        <w:pStyle w:val="ListParagraph"/>
        <w:numPr>
          <w:ilvl w:val="0"/>
          <w:numId w:val="4"/>
        </w:numPr>
        <w:spacing w:after="80"/>
      </w:pPr>
      <w:r>
        <w:rPr>
          <w:sz w:val="18"/>
          <w:szCs w:val="18"/>
        </w:rPr>
        <w:t xml:space="preserve">American Thoracic Society/European Respiratory Society. ATS/ERS Statement on respiratory muscle testing. Am J Respir Crit Care Med. 2002;166(4):518-624. doi:10.1164/rccm.166.4.518. PMID: 12186831.</w:t>
      </w:r>
    </w:p>
    <w:p>
      <w:pPr>
        <w:pStyle w:val="ListParagraph"/>
        <w:numPr>
          <w:ilvl w:val="0"/>
          <w:numId w:val="4"/>
        </w:numPr>
        <w:spacing w:after="80"/>
      </w:pPr>
      <w:r>
        <w:rPr>
          <w:sz w:val="18"/>
          <w:szCs w:val="18"/>
        </w:rPr>
        <w:t xml:space="preserve">Laveneziana P, Albuquerque A, Aliverti A, Babb T, Barreiro E, Dres M, et al. ERS statement on respiratory muscle testing at rest and during exercise. Eur Respir J. 2019;53(6):1801214. doi:10.1183/13993003.01214-2018. PMID: 30956204.</w:t>
      </w:r>
    </w:p>
    <w:p>
      <w:pPr>
        <w:pStyle w:val="ListParagraph"/>
        <w:numPr>
          <w:ilvl w:val="0"/>
          <w:numId w:val="4"/>
        </w:numPr>
        <w:spacing w:after="80"/>
      </w:pPr>
      <w:r>
        <w:rPr>
          <w:sz w:val="18"/>
          <w:szCs w:val="18"/>
        </w:rPr>
        <w:t xml:space="preserve">Levett DZH, Jack S, Swart M, Carlisle J, Wilson J, Snowden C, et al. Perioperative cardiopulmonary exercise testing (CPET): consensus clinical guidelines on indications, organization, conduct, and physiological interpretation. Br J Anaesth. 2018;120(3):484-500. doi:10.1016/j.bja.2017.10.020. PMID: 29452805.</w:t>
      </w:r>
    </w:p>
    <w:p>
      <w:pPr>
        <w:pStyle w:val="ListParagraph"/>
        <w:numPr>
          <w:ilvl w:val="0"/>
          <w:numId w:val="4"/>
        </w:numPr>
        <w:spacing w:after="80"/>
      </w:pPr>
      <w:r>
        <w:rPr>
          <w:sz w:val="18"/>
          <w:szCs w:val="18"/>
        </w:rPr>
        <w:t xml:space="preserve">Rockwood K, Song X, MacKnight C, Bergman H, Hogan DB, McDowell I, et al. A global clinical measure of fitness and frailty in elderly people. CMAJ. 2005;173(5):489-95. doi:10.1503/cmaj.050051. PMID: 16129869.</w:t>
      </w:r>
    </w:p>
    <w:p>
      <w:pPr>
        <w:pStyle w:val="ListParagraph"/>
        <w:numPr>
          <w:ilvl w:val="0"/>
          <w:numId w:val="4"/>
        </w:numPr>
        <w:spacing w:after="80"/>
      </w:pPr>
      <w:r>
        <w:rPr>
          <w:sz w:val="18"/>
          <w:szCs w:val="18"/>
        </w:rPr>
        <w:t xml:space="preserve">American Thoracic Society; American College of Chest Physicians. ATS/ACCP Statement on cardiopulmonary exercise testing. Am J Respir Crit Care Med. 2003;167(2):211-77. doi:10.1164/rccm.167.2.211. PMID: 12524257.</w:t>
      </w:r>
    </w:p>
    <w:p>
      <w:pPr>
        <w:pStyle w:val="ListParagraph"/>
        <w:numPr>
          <w:ilvl w:val="0"/>
          <w:numId w:val="4"/>
        </w:numPr>
        <w:spacing w:after="80"/>
      </w:pPr>
      <w:r>
        <w:rPr>
          <w:sz w:val="18"/>
          <w:szCs w:val="18"/>
        </w:rPr>
        <w:t xml:space="preserve">Older P, Hall A, Hader R. Cardiopulmonary exercise testing as a screening test for perioperative management of major surgery in the elderly. Chest. 1999;116(2):355-62. doi:10.1378/chest.116.2.355. PMID: 10453862.</w:t>
      </w:r>
    </w:p>
    <w:p>
      <w:pPr>
        <w:pStyle w:val="ListParagraph"/>
        <w:numPr>
          <w:ilvl w:val="0"/>
          <w:numId w:val="4"/>
        </w:numPr>
        <w:spacing w:after="80"/>
      </w:pPr>
      <w:r>
        <w:rPr>
          <w:sz w:val="18"/>
          <w:szCs w:val="18"/>
        </w:rPr>
        <w:t xml:space="preserve">Wilson RJ, Davies S, Yates D, Redman J, Stone M. Impaired functional capacity is associated with all-cause mortality after major elective intra-abdominal surgery. Br J Anaesth. 2010;105(3):297-303. doi:10.1093/bja/aeq128. PMID: 20573634.</w:t>
      </w:r>
    </w:p>
    <w:p>
      <w:pPr>
        <w:pStyle w:val="ListParagraph"/>
        <w:numPr>
          <w:ilvl w:val="0"/>
          <w:numId w:val="4"/>
        </w:numPr>
        <w:spacing w:after="80"/>
      </w:pPr>
      <w:r>
        <w:rPr>
          <w:sz w:val="18"/>
          <w:szCs w:val="18"/>
        </w:rPr>
        <w:t xml:space="preserve">Snowden CP, Prentis JM, Anderson HL, Roberts DR, Randles D, Renton M, et al. Submaximal cardiopulmonary exercise testing predicts complications and hospital length of stay in patients undergoing major elective surgery. Ann Surg. 2010;251(3):535-41. doi:10.1097/SLA.0b013e3181cf811d. PMID: 20134313.</w:t>
      </w:r>
    </w:p>
    <w:p>
      <w:pPr>
        <w:pStyle w:val="ListParagraph"/>
        <w:numPr>
          <w:ilvl w:val="0"/>
          <w:numId w:val="4"/>
        </w:numPr>
        <w:spacing w:after="80"/>
      </w:pPr>
      <w:r>
        <w:rPr>
          <w:sz w:val="18"/>
          <w:szCs w:val="18"/>
        </w:rPr>
        <w:t xml:space="preserve">Brunelli A, Kim AW, Berger KI, Addrizzo-Harris DJ. Physiologic evaluation of the patient with lung cancer being considered for resectional surgery: Diagnosis and management of lung cancer, 3rd ed: American College of Chest Physicians evidence-based clinical practice guidelines. Chest. 2013;143(5 Suppl):e166S-e190S. doi:10.1378/chest.12-2395. PMID: 23649437.</w:t>
      </w:r>
    </w:p>
    <w:p>
      <w:pPr>
        <w:pStyle w:val="ListParagraph"/>
        <w:numPr>
          <w:ilvl w:val="0"/>
          <w:numId w:val="4"/>
        </w:numPr>
        <w:spacing w:after="80"/>
      </w:pPr>
      <w:r>
        <w:rPr>
          <w:sz w:val="18"/>
          <w:szCs w:val="18"/>
        </w:rPr>
        <w:t xml:space="preserve">American College of Sports Medicine; Liguori G, Feito Y, Fountaine C, Roy B, editores. ACSM's guidelines for exercise testing and prescription. 11.ª ed. Filadelfia: Wolters Kluwer; 2021.</w:t>
      </w:r>
    </w:p>
    <w:p>
      <w:pPr>
        <w:pStyle w:val="ListParagraph"/>
        <w:numPr>
          <w:ilvl w:val="0"/>
          <w:numId w:val="4"/>
        </w:numPr>
        <w:spacing w:after="80"/>
      </w:pPr>
      <w:r>
        <w:rPr>
          <w:sz w:val="18"/>
          <w:szCs w:val="18"/>
        </w:rPr>
        <w:t xml:space="preserve">Borg GA. Psychophysical bases of perceived exertion. Med Sci Sports Exerc. 1982;14(5):377-81. PMID: 7154893.</w:t>
      </w:r>
    </w:p>
    <w:p>
      <w:pPr>
        <w:pStyle w:val="ListParagraph"/>
        <w:numPr>
          <w:ilvl w:val="0"/>
          <w:numId w:val="4"/>
        </w:numPr>
        <w:spacing w:after="80"/>
      </w:pPr>
      <w:r>
        <w:rPr>
          <w:sz w:val="18"/>
          <w:szCs w:val="18"/>
        </w:rPr>
        <w:t xml:space="preserve">Young CC, Harris EM, Vacchiano C, Bodnar S, Bukowy B, Elliott RRD, et al. Lung-protective ventilation for the surgical patient: international expert panel-based consensus recommendations. Br J Anaesth. 2019;123(6):898-913. doi:10.1016/j.bja.2019.08.017. PMID: 31587835.</w:t>
      </w:r>
    </w:p>
    <w:p>
      <w:pPr>
        <w:pStyle w:val="ListParagraph"/>
        <w:numPr>
          <w:ilvl w:val="0"/>
          <w:numId w:val="4"/>
        </w:numPr>
        <w:spacing w:after="80"/>
      </w:pPr>
      <w:r>
        <w:rPr>
          <w:sz w:val="18"/>
          <w:szCs w:val="18"/>
        </w:rPr>
        <w:t xml:space="preserve">Pöpping DM, Elia N, Marret E, Remy C, Tramèr MR. Protective effects of epidural analgesia on pulmonary complications after abdominal and thoracic surgery: a meta-analysis. Arch Surg. 2008;143(10):990-9; discussion 1000. doi:10.1001/archsurg.143.10.990. PMID: 18936379.</w:t>
      </w:r>
    </w:p>
    <w:p>
      <w:pPr>
        <w:pStyle w:val="ListParagraph"/>
        <w:numPr>
          <w:ilvl w:val="0"/>
          <w:numId w:val="4"/>
        </w:numPr>
        <w:spacing w:after="80"/>
      </w:pPr>
      <w:r>
        <w:rPr>
          <w:sz w:val="18"/>
          <w:szCs w:val="18"/>
        </w:rPr>
        <w:t xml:space="preserve">Gan TJ, Belani KG, Bergese S, Chung F, Diemunsch P, Habib AS, et al. Fourth Consensus Guidelines for the Management of Postoperative Nausea and Vomiting. Anesth Analg. 2020;131(2):411-448. doi:10.1213/ANE.0000000000004833. PMID: 32467512.</w:t>
      </w:r>
    </w:p>
    <w:p>
      <w:pPr>
        <w:pStyle w:val="ListParagraph"/>
        <w:numPr>
          <w:ilvl w:val="0"/>
          <w:numId w:val="4"/>
        </w:numPr>
        <w:spacing w:after="80"/>
      </w:pPr>
      <w:r>
        <w:rPr>
          <w:sz w:val="18"/>
          <w:szCs w:val="18"/>
        </w:rPr>
        <w:t xml:space="preserve">Kortebein P, Ferrando A, Lombeida J, Wolfe R, Evans WJ. Effect of 10 days of bed rest on skeletal muscle in healthy older adults. JAMA. 2007;297(16):1772-4. doi:10.1001/jama.297.16.1772-b. PMID: 17456818.</w:t>
      </w:r>
    </w:p>
    <w:p>
      <w:pPr>
        <w:pStyle w:val="ListParagraph"/>
        <w:numPr>
          <w:ilvl w:val="0"/>
          <w:numId w:val="4"/>
        </w:numPr>
        <w:spacing w:after="80"/>
      </w:pPr>
      <w:r>
        <w:rPr>
          <w:sz w:val="18"/>
          <w:szCs w:val="18"/>
        </w:rPr>
        <w:t xml:space="preserve">Puthucheary ZA, Rawal J, McPhail M, Connolly B, Ratnayake G, Chan P, et al. Acute skeletal muscle wasting in critical illness. JAMA. 2013;310(15):1591-600. doi:10.1001/jama.2013.278481. PMID: 24108501.</w:t>
      </w:r>
    </w:p>
    <w:p>
      <w:pPr>
        <w:pStyle w:val="ListParagraph"/>
        <w:numPr>
          <w:ilvl w:val="0"/>
          <w:numId w:val="4"/>
        </w:numPr>
        <w:spacing w:after="80"/>
      </w:pPr>
      <w:r>
        <w:rPr>
          <w:sz w:val="18"/>
          <w:szCs w:val="18"/>
        </w:rPr>
        <w:t xml:space="preserve">Simonsen C, de Heer P, Bjerre ED, Suetta C, Hojman P, Pedersen BK, et al. Sarcopenia and Postoperative Complication Risk in Gastrointestinal Surgical Oncology: A Meta-analysis. Ann Surg. 2018;268(1):58-69. doi:10.1097/SLA.0000000000002679. PMID: 29373365.</w:t>
      </w:r>
    </w:p>
    <w:p>
      <w:pPr>
        <w:pStyle w:val="ListParagraph"/>
        <w:numPr>
          <w:ilvl w:val="0"/>
          <w:numId w:val="4"/>
        </w:numPr>
        <w:spacing w:after="80"/>
      </w:pPr>
      <w:r>
        <w:rPr>
          <w:sz w:val="18"/>
          <w:szCs w:val="18"/>
        </w:rPr>
        <w:t xml:space="preserve">Fragala MS, Cadore EL, Dorgo S, Izquierdo M, Kraemer WJ, Peterson MD, et al. Resistance Training for Older Adults: Position Statement From the National Strength and Conditioning Association. J Strength Cond Res. 2019;33(8):2019-2052. doi:10.1519/JSC.0000000000003230. PMID: 31343601.</w:t>
      </w:r>
    </w:p>
    <w:p>
      <w:pPr>
        <w:pStyle w:val="ListParagraph"/>
        <w:numPr>
          <w:ilvl w:val="0"/>
          <w:numId w:val="4"/>
        </w:numPr>
        <w:spacing w:after="80"/>
      </w:pPr>
      <w:r>
        <w:rPr>
          <w:sz w:val="18"/>
          <w:szCs w:val="18"/>
        </w:rPr>
        <w:t xml:space="preserve">Dent E, Morley JE, Cruz-Jentoft AJ, Woodhouse L, Rodríguez-Mañas L, Fried LP, et al. Physical Frailty: ICFSR International Clinical Practice Guidelines for Identification and Management. J Nutr Health Aging. 2019;23(9):771-787. doi:10.1007/s12603-019-1273-z. PMID: 31641726.</w:t>
      </w:r>
    </w:p>
    <w:p>
      <w:pPr>
        <w:pStyle w:val="ListParagraph"/>
        <w:numPr>
          <w:ilvl w:val="0"/>
          <w:numId w:val="4"/>
        </w:numPr>
        <w:spacing w:after="80"/>
      </w:pPr>
      <w:r>
        <w:rPr>
          <w:sz w:val="18"/>
          <w:szCs w:val="18"/>
        </w:rPr>
        <w:t xml:space="preserve">Williams MA, Haskell WL, Ades PA, Amsterdam EA, Bittner V, Franklin BA, et al. Resistance exercise in individuals with and without cardiovascular disease: 2007 update: a scientific statement from the American Heart Association Council on Clinical Cardiology and Council on Nutrition, Physical Activity, and Metabolism. Circulation. 2007;116(5):572-84. doi:10.1161/CIRCULATIONAHA.107.185214. PMID: 17638929.</w:t>
      </w:r>
    </w:p>
    <w:p>
      <w:pPr>
        <w:pStyle w:val="ListParagraph"/>
        <w:numPr>
          <w:ilvl w:val="0"/>
          <w:numId w:val="4"/>
        </w:numPr>
        <w:spacing w:after="80"/>
      </w:pPr>
      <w:r>
        <w:rPr>
          <w:sz w:val="18"/>
          <w:szCs w:val="18"/>
        </w:rPr>
        <w:t xml:space="preserve">Galvão DA, Taaffe DR, Spry N, Cormie P, Joseph D, Chambers SK, et al. Exercise Preserves Physical Function in Prostate Cancer Patients with Bone Metastases. Med Sci Sports Exerc. 2018;50(3):393-399. doi:10.1249/MSS.0000000000001454. PMID: 29036016.</w:t>
      </w:r>
    </w:p>
    <w:p>
      <w:pPr>
        <w:pStyle w:val="ListParagraph"/>
        <w:numPr>
          <w:ilvl w:val="0"/>
          <w:numId w:val="4"/>
        </w:numPr>
        <w:spacing w:after="80"/>
      </w:pPr>
      <w:r>
        <w:rPr>
          <w:sz w:val="18"/>
          <w:szCs w:val="18"/>
        </w:rPr>
        <w:t xml:space="preserve">Campbell KL, Winters-Stone KM, Wiskemann J, May AM, Schwartz AL, Courneya KS, et al. Exercise Guidelines for Cancer Survivors: Consensus Statement from International Multidisciplinary Roundtable. Med Sci Sports Exerc. 2019;51(11):2375-2390. doi:10.1249/MSS.0000000000002116. PMID: 31626055.</w:t>
      </w:r>
    </w:p>
    <w:p>
      <w:pPr>
        <w:pStyle w:val="ListParagraph"/>
        <w:numPr>
          <w:ilvl w:val="0"/>
          <w:numId w:val="4"/>
        </w:numPr>
        <w:spacing w:after="80"/>
      </w:pPr>
      <w:r>
        <w:rPr>
          <w:sz w:val="18"/>
          <w:szCs w:val="18"/>
        </w:rPr>
        <w:t xml:space="preserve">Fernandez-Bustamante A, Frendl G, Sprung J, Kor DJ, Subramaniam B, Martinez Ruiz R, et al. Postoperative Pulmonary Complications, Early Mortality, and Hospital Stay Following Noncardiothoracic Surgery: A Multicenter Study by the Perioperative Research Network Investigators. JAMA Surg. 2017;152(2):157-166. doi:10.1001/jamasurg.2016.4065. PMID: 27829093.</w:t>
      </w:r>
    </w:p>
    <w:p>
      <w:pPr>
        <w:pStyle w:val="ListParagraph"/>
        <w:numPr>
          <w:ilvl w:val="0"/>
          <w:numId w:val="4"/>
        </w:numPr>
        <w:spacing w:after="80"/>
      </w:pPr>
      <w:r>
        <w:rPr>
          <w:sz w:val="18"/>
          <w:szCs w:val="18"/>
        </w:rPr>
        <w:t xml:space="preserve">Miskovic A, Lumb AB. Postoperative pulmonary complications. Br J Anaesth. 2017;118(3):317-334. doi:10.1093/bja/aex002. PMID: 28186222.</w:t>
      </w:r>
    </w:p>
    <w:p>
      <w:pPr>
        <w:pStyle w:val="ListParagraph"/>
        <w:numPr>
          <w:ilvl w:val="0"/>
          <w:numId w:val="4"/>
        </w:numPr>
        <w:spacing w:after="80"/>
      </w:pPr>
      <w:r>
        <w:rPr>
          <w:sz w:val="18"/>
          <w:szCs w:val="18"/>
        </w:rPr>
        <w:t xml:space="preserve">Canet J, Gallart L, Gomar C, Paluzie G, Vallès J, Castillo J, et al. Prediction of postoperative pulmonary complications in a population-based surgical cohort. Anesthesiology. 2010;113(6):1338-50. doi:10.1097/ALN.0b013e3181fc6e0a. PMID: 21045639.</w:t>
      </w:r>
    </w:p>
    <w:p>
      <w:pPr>
        <w:pStyle w:val="ListParagraph"/>
        <w:numPr>
          <w:ilvl w:val="0"/>
          <w:numId w:val="4"/>
        </w:numPr>
        <w:spacing w:after="80"/>
      </w:pPr>
      <w:r>
        <w:rPr>
          <w:sz w:val="18"/>
          <w:szCs w:val="18"/>
        </w:rPr>
        <w:t xml:space="preserve">Mazo V, Sabaté S, Canet J, Gallart L, de Abreu MG, Belda J, et al. Prospective external validation of a predictive score for postoperative pulmonary complications. Anesthesiology. 2014;121(2):219-31. doi:10.1097/ALN.0000000000000334. PMID: 24901240.</w:t>
      </w:r>
    </w:p>
    <w:p>
      <w:pPr>
        <w:pStyle w:val="ListParagraph"/>
        <w:numPr>
          <w:ilvl w:val="0"/>
          <w:numId w:val="4"/>
        </w:numPr>
        <w:spacing w:after="80"/>
      </w:pPr>
      <w:r>
        <w:rPr>
          <w:sz w:val="18"/>
          <w:szCs w:val="18"/>
        </w:rPr>
        <w:t xml:space="preserve">Katsura M, Kuriyama A, Takeshima T, Fukuhara S, Furukawa TA. Preoperative inspiratory muscle training for postoperative pulmonary complications in adults undergoing cardiac and major abdominal surgery. Cochrane Database Syst Rev. 2015;(10):CD010356. doi:10.1002/14651858.CD010356.pub2. PMID: 26436600.</w:t>
      </w:r>
    </w:p>
    <w:p>
      <w:pPr>
        <w:pStyle w:val="ListParagraph"/>
        <w:numPr>
          <w:ilvl w:val="0"/>
          <w:numId w:val="4"/>
        </w:numPr>
        <w:spacing w:after="80"/>
      </w:pPr>
      <w:r>
        <w:rPr>
          <w:sz w:val="18"/>
          <w:szCs w:val="18"/>
        </w:rPr>
        <w:t xml:space="preserve">Hulzebos EH, Helders PJ, Favié NJ, De Bie RA, Brutel de la Riviere A, Van Meeteren NL. Preoperative intensive inspiratory muscle training to prevent postoperative pulmonary complications in high-risk patients undergoing CABG surgery: a randomized clinical trial. JAMA. 2006;296(15):1851-7. doi:10.1001/jama.296.15.1851. PMID: 17047215.</w:t>
      </w:r>
    </w:p>
    <w:p>
      <w:pPr>
        <w:pStyle w:val="ListParagraph"/>
        <w:numPr>
          <w:ilvl w:val="0"/>
          <w:numId w:val="4"/>
        </w:numPr>
        <w:spacing w:after="80"/>
      </w:pPr>
      <w:r>
        <w:rPr>
          <w:sz w:val="18"/>
          <w:szCs w:val="18"/>
        </w:rPr>
        <w:t xml:space="preserve">Boden I, Skinner EH, Browning L, Reeve J, Anderson L, Hill C, et al. Preoperative physiotherapy for the prevention of respiratory complications after upper abdominal surgery: pragmatic, double blinded, multicentre randomised controlled trial. BMJ. 2018;360:j5916. doi:10.1136/bmj.j5916. PMID: 29367198.</w:t>
      </w:r>
    </w:p>
    <w:p>
      <w:pPr>
        <w:pStyle w:val="ListParagraph"/>
        <w:numPr>
          <w:ilvl w:val="0"/>
          <w:numId w:val="4"/>
        </w:numPr>
        <w:spacing w:after="80"/>
      </w:pPr>
      <w:r>
        <w:rPr>
          <w:sz w:val="18"/>
          <w:szCs w:val="18"/>
        </w:rPr>
        <w:t xml:space="preserve">Sebio Garcia R, Yáñez Brage MI, Giménez Moolhuyzen E, Granger CL, Denehy L. Functional and postoperative outcomes after preoperative exercise training in patients with lung cancer: a systematic review and meta-analysis. Interact Cardiovasc Thorac Surg. 2016;23(3):486-97. doi:10.1093/icvts/ivw152. PMID: 27226400.</w:t>
      </w:r>
    </w:p>
    <w:p>
      <w:pPr>
        <w:pStyle w:val="ListParagraph"/>
        <w:numPr>
          <w:ilvl w:val="0"/>
          <w:numId w:val="4"/>
        </w:numPr>
        <w:spacing w:after="80"/>
      </w:pPr>
      <w:r>
        <w:rPr>
          <w:sz w:val="18"/>
          <w:szCs w:val="18"/>
        </w:rPr>
        <w:t xml:space="preserve">Batchelor TJP, Rasburn NJ, Abdelnour-Berchtold E, Brunelli A, Cerfolio RJ, Gonzalez M, et al. Guidelines for enhanced recovery after lung surgery: recommendations of the Enhanced Recovery After Surgery (ERAS®) Society and the European Society of Thoracic Surgeons (ESTS). Eur J Cardiothorac Surg. 2019;55(1):91-115. doi:10.1093/ejcts/ezy301. PMID: 30304509.</w:t>
      </w:r>
    </w:p>
    <w:p>
      <w:pPr>
        <w:pStyle w:val="ListParagraph"/>
        <w:numPr>
          <w:ilvl w:val="0"/>
          <w:numId w:val="4"/>
        </w:numPr>
        <w:spacing w:after="80"/>
      </w:pPr>
      <w:r>
        <w:rPr>
          <w:sz w:val="18"/>
          <w:szCs w:val="18"/>
        </w:rPr>
        <w:t xml:space="preserve">Engelman DT, Ben Ali W, Williams JB, Perrault LP, Reddy VS, Arora RC, et al. Guidelines for Perioperative Care in Cardiac Surgery: Enhanced Recovery After Surgery Society Recommendations. JAMA Surg. 2019;154(8):755-766. doi:10.1001/jamasurg.2019.1153. PMID: 31054241.</w:t>
      </w:r>
    </w:p>
    <w:p>
      <w:pPr>
        <w:pStyle w:val="ListParagraph"/>
        <w:numPr>
          <w:ilvl w:val="0"/>
          <w:numId w:val="4"/>
        </w:numPr>
        <w:spacing w:after="80"/>
      </w:pPr>
      <w:r>
        <w:rPr>
          <w:sz w:val="18"/>
          <w:szCs w:val="18"/>
        </w:rPr>
        <w:t xml:space="preserve">Kirmeier E, Eriksson LI, Lewald H, Jonsson Fagerlund M, Hoeft A, Hollmann M, et al. Post-anaesthesia pulmonary complications after use of muscle relaxants (POPULAR): a multicentre, prospective observational study. Lancet Respir Med. 2019;7(2):129-140. doi:10.1016/S2213-2600(18)30294-7. PMID: 30224322.</w:t>
      </w:r>
    </w:p>
    <w:p>
      <w:pPr>
        <w:pStyle w:val="ListParagraph"/>
        <w:numPr>
          <w:ilvl w:val="0"/>
          <w:numId w:val="4"/>
        </w:numPr>
        <w:spacing w:after="80"/>
      </w:pPr>
      <w:r>
        <w:rPr>
          <w:sz w:val="18"/>
          <w:szCs w:val="18"/>
        </w:rPr>
        <w:t xml:space="preserve">Clegg A, Young J, Iliffe S, Rikkert MO, Rockwood K. Frailty in elderly people. Lancet. 2013;381(9868):752-62. doi:10.1016/S0140-6736(12)62167-9. PMID: 23395245.</w:t>
      </w:r>
    </w:p>
    <w:p>
      <w:pPr>
        <w:pStyle w:val="ListParagraph"/>
        <w:numPr>
          <w:ilvl w:val="0"/>
          <w:numId w:val="4"/>
        </w:numPr>
        <w:spacing w:after="80"/>
      </w:pPr>
      <w:r>
        <w:rPr>
          <w:sz w:val="18"/>
          <w:szCs w:val="18"/>
        </w:rPr>
        <w:t xml:space="preserve">McIsaac DI, MacDonald DB, Aucoin SD. Frailty for Perioperative Clinicians: A Narrative Review. Anesth Analg. 2020;130(6):1450-1460. doi:10.1213/ANE.0000000000004602. PMID: 32384334.</w:t>
      </w:r>
    </w:p>
    <w:p>
      <w:pPr>
        <w:pStyle w:val="ListParagraph"/>
        <w:numPr>
          <w:ilvl w:val="0"/>
          <w:numId w:val="4"/>
        </w:numPr>
        <w:spacing w:after="80"/>
      </w:pPr>
      <w:r>
        <w:rPr>
          <w:sz w:val="18"/>
          <w:szCs w:val="18"/>
        </w:rPr>
        <w:t xml:space="preserve">Lin HS, Watts JN, Peel NM, Hubbard RE. Frailty and post-operative outcomes in older surgical patients: a systematic review. BMC Geriatr. 2016;16(1):157. doi:10.1186/s12877-016-0329-8. PMID: 27580947.</w:t>
      </w:r>
    </w:p>
    <w:p>
      <w:pPr>
        <w:pStyle w:val="ListParagraph"/>
        <w:numPr>
          <w:ilvl w:val="0"/>
          <w:numId w:val="4"/>
        </w:numPr>
        <w:spacing w:after="80"/>
      </w:pPr>
      <w:r>
        <w:rPr>
          <w:sz w:val="18"/>
          <w:szCs w:val="18"/>
        </w:rPr>
        <w:t xml:space="preserve">Fried LP, Tangen CM, Walston J, Newman AB, Hirsch C, Gottdiener J, et al. Frailty in older adults: evidence for a phenotype. J Gerontol A Biol Sci Med Sci. 2001;56(3):M146-56. doi:10.1093/gerona/56.3.m146. PMID: 11253156.</w:t>
      </w:r>
    </w:p>
    <w:p>
      <w:pPr>
        <w:pStyle w:val="ListParagraph"/>
        <w:numPr>
          <w:ilvl w:val="0"/>
          <w:numId w:val="4"/>
        </w:numPr>
        <w:spacing w:after="80"/>
      </w:pPr>
      <w:r>
        <w:rPr>
          <w:sz w:val="18"/>
          <w:szCs w:val="18"/>
        </w:rPr>
        <w:t xml:space="preserve">Rolfson DB, Majumdar SR, Tsuyuki RT, Tahir A, Rockwood K. Validity and reliability of the Edmonton Frail Scale. Age Ageing. 2006;35(5):526-9. doi:10.1093/ageing/afl041. PMID: 16757522.</w:t>
      </w:r>
    </w:p>
    <w:p>
      <w:pPr>
        <w:pStyle w:val="ListParagraph"/>
        <w:numPr>
          <w:ilvl w:val="0"/>
          <w:numId w:val="4"/>
        </w:numPr>
        <w:spacing w:after="80"/>
      </w:pPr>
      <w:r>
        <w:rPr>
          <w:sz w:val="18"/>
          <w:szCs w:val="18"/>
        </w:rPr>
        <w:t xml:space="preserve">Lai JC, Covinsky KE, Dodge JL, Boscardin WJ, Segev DL, Roberts JP, et al. Development of a novel frailty index to predict mortality in patients with end-stage liver disease. Hepatology. 2017;66(2):564-574. doi:10.1002/hep.29219. PMID: 28422306.</w:t>
      </w:r>
    </w:p>
    <w:p>
      <w:pPr>
        <w:pStyle w:val="ListParagraph"/>
        <w:numPr>
          <w:ilvl w:val="0"/>
          <w:numId w:val="4"/>
        </w:numPr>
        <w:spacing w:after="80"/>
      </w:pPr>
      <w:r>
        <w:rPr>
          <w:sz w:val="18"/>
          <w:szCs w:val="18"/>
        </w:rPr>
        <w:t xml:space="preserve">Lai JC, Tandon P, Bernal W, Tapper EB, Ekong U, Dasarathy S, et al. Malnutrition, Frailty, and Sarcopenia in Patients With Cirrhosis: 2021 Practice Guidance by the American Association for the Study of Liver Diseases. Hepatology. 2021;74(3):1611-1644. doi:10.1002/hep.32049. PMID: 34233031.</w:t>
      </w:r>
    </w:p>
    <w:p>
      <w:pPr>
        <w:pStyle w:val="ListParagraph"/>
        <w:numPr>
          <w:ilvl w:val="0"/>
          <w:numId w:val="4"/>
        </w:numPr>
        <w:spacing w:after="80"/>
      </w:pPr>
      <w:r>
        <w:rPr>
          <w:sz w:val="18"/>
          <w:szCs w:val="18"/>
        </w:rPr>
        <w:t xml:space="preserve">Mohanty S, Rosenthal RA, Russell MM, Neuman MD, Ko CY, Esnaola NF. Optimal Perioperative Management of the Geriatric Patient: A Best Practices Guideline from the American College of Surgeons NSQIP and the American Geriatrics Society. J Am Coll Surg. 2016;222(5):930-47. doi:10.1016/j.jamcollsurg.2015.12.026. PMID: 27049783.</w:t>
      </w:r>
    </w:p>
    <w:p>
      <w:pPr>
        <w:pStyle w:val="ListParagraph"/>
        <w:numPr>
          <w:ilvl w:val="0"/>
          <w:numId w:val="4"/>
        </w:numPr>
        <w:spacing w:after="80"/>
      </w:pPr>
      <w:r>
        <w:rPr>
          <w:sz w:val="18"/>
          <w:szCs w:val="18"/>
        </w:rPr>
        <w:t xml:space="preserve">Aldecoa C, Bettelli G, Bilotta F, Sanders RD, Aceto P, Audisio R, et al. Update of the European Society of Anaesthesiology and Intensive Care Medicine evidence-based and consensus-based guideline on postoperative delirium in adult patients. Eur J Anaesthesiol. 2024;41(2):81-108. doi:10.1097/EJA.0000000000001876. PMID: 37599617.</w:t>
      </w:r>
    </w:p>
    <w:p>
      <w:pPr>
        <w:pStyle w:val="ListParagraph"/>
        <w:numPr>
          <w:ilvl w:val="0"/>
          <w:numId w:val="4"/>
        </w:numPr>
        <w:spacing w:after="80"/>
      </w:pPr>
      <w:r>
        <w:rPr>
          <w:sz w:val="18"/>
          <w:szCs w:val="18"/>
        </w:rPr>
        <w:t xml:space="preserve">Hall DE, Arya S, Schmid KK, Carlson MA, Lavedan P, Bailey TL, et al. Association of a Frailty Screening Initiative With Postoperative Survival at 30, 180, and 365 Days. JAMA Surg. 2017;152(3):233-240. doi:10.1001/jamasurg.2016.4219. PMID: 27902826.</w:t>
      </w:r>
    </w:p>
    <w:p>
      <w:pPr>
        <w:pStyle w:val="ListParagraph"/>
        <w:numPr>
          <w:ilvl w:val="0"/>
          <w:numId w:val="4"/>
        </w:numPr>
        <w:spacing w:after="80"/>
      </w:pPr>
      <w:r>
        <w:rPr>
          <w:sz w:val="18"/>
          <w:szCs w:val="18"/>
        </w:rPr>
        <w:t xml:space="preserve">Brower RG. Consequences of bed rest. Crit Care Med. 2009;37(10 Suppl):S422-8. doi:10.1097/CCM.0b013e3181b6e30a. PMID: 20046130.</w:t>
      </w:r>
    </w:p>
    <w:p>
      <w:pPr>
        <w:pStyle w:val="ListParagraph"/>
        <w:numPr>
          <w:ilvl w:val="0"/>
          <w:numId w:val="4"/>
        </w:numPr>
        <w:spacing w:after="80"/>
      </w:pPr>
      <w:r>
        <w:rPr>
          <w:sz w:val="18"/>
          <w:szCs w:val="18"/>
        </w:rPr>
        <w:t xml:space="preserve">Gustafsson UO, Scott MJ, Hubner M, Nygren J, Demartines N, Francis N, et al. Guidelines for Perioperative Care in Elective Colorectal Surgery: Enhanced Recovery After Surgery (ERAS) Society Recommendations: 2018. World J Surg. 2019;43(3):659-695. doi:10.1007/s00268-018-4844-y. PMID: 30426190.</w:t>
      </w:r>
    </w:p>
    <w:p>
      <w:pPr>
        <w:pStyle w:val="ListParagraph"/>
        <w:numPr>
          <w:ilvl w:val="0"/>
          <w:numId w:val="4"/>
        </w:numPr>
        <w:spacing w:after="80"/>
      </w:pPr>
      <w:r>
        <w:rPr>
          <w:sz w:val="18"/>
          <w:szCs w:val="18"/>
        </w:rPr>
        <w:t xml:space="preserve">de Almeida EPM, de Almeida JP, Landoni G, Galas FRBG, Fukushima JT, Fominskiy E, et al. Early mobilization programme improves functional capacity after major abdominal cancer surgery: a randomized controlled trial. Br J Anaesth. 2017;119(5):900-907. doi:10.1093/bja/aex250. PMID: 28981596.</w:t>
      </w:r>
    </w:p>
    <w:p>
      <w:pPr>
        <w:pStyle w:val="ListParagraph"/>
        <w:numPr>
          <w:ilvl w:val="0"/>
          <w:numId w:val="4"/>
        </w:numPr>
        <w:spacing w:after="80"/>
      </w:pPr>
      <w:r>
        <w:rPr>
          <w:sz w:val="18"/>
          <w:szCs w:val="18"/>
        </w:rPr>
        <w:t xml:space="preserve">Fiore JF, Castelino T, Pecorelli N, Niculiseanu P, Balvardi S, Hershorn O, et al. Ensuring Early Mobilization Within an Enhanced Recovery Program for Colorectal Surgery: A Randomized Controlled Trial. Ann Surg. 2017;266(2):223-231. doi:10.1097/SLA.0000000000002114. PMID: 27997472.</w:t>
      </w:r>
    </w:p>
    <w:p>
      <w:pPr>
        <w:pStyle w:val="ListParagraph"/>
        <w:numPr>
          <w:ilvl w:val="0"/>
          <w:numId w:val="4"/>
        </w:numPr>
        <w:spacing w:after="80"/>
      </w:pPr>
      <w:r>
        <w:rPr>
          <w:sz w:val="18"/>
          <w:szCs w:val="18"/>
        </w:rPr>
        <w:t xml:space="preserve">Tazreean R, Nelson G, Twomey R. Early mobilization in enhanced recovery after surgery pathways: current evidence and recent advancements. J Comp Eff Res. 2022;11(2):121-129. doi:10.2217/cer-2021-0258. PMID: 35045757.</w:t>
      </w:r>
    </w:p>
    <w:p>
      <w:pPr>
        <w:pStyle w:val="ListParagraph"/>
        <w:numPr>
          <w:ilvl w:val="0"/>
          <w:numId w:val="4"/>
        </w:numPr>
        <w:spacing w:after="80"/>
      </w:pPr>
      <w:r>
        <w:rPr>
          <w:sz w:val="18"/>
          <w:szCs w:val="18"/>
        </w:rPr>
        <w:t xml:space="preserve">Hodgson CL, Stiller K, Needham DM, Tipping CJ, Harrold M, Baldwin CE, et al. Expert consensus and recommendations on safety criteria for active mobilization of mechanically ventilated critically ill adults. Crit Care. 2014;18(6):658. doi:10.1186/s13054-014-0658-y. PMID: 25475522.</w:t>
      </w:r>
    </w:p>
    <w:p>
      <w:pPr>
        <w:pStyle w:val="ListParagraph"/>
        <w:numPr>
          <w:ilvl w:val="0"/>
          <w:numId w:val="4"/>
        </w:numPr>
        <w:spacing w:after="80"/>
      </w:pPr>
      <w:r>
        <w:rPr>
          <w:sz w:val="18"/>
          <w:szCs w:val="18"/>
        </w:rPr>
        <w:t xml:space="preserve">Joliat GR, Kobayashi K, Hasegawa K, Thomson JE, Padbury R, Scott M, et al. Guidelines for Perioperative Care for Liver Surgery: Enhanced Recovery After Surgery (ERAS) Society Recommendations 2022. World J Surg. 2023;47(1):11-34. doi:10.1007/s00268-022-06732-5. PMID: 36310325.</w:t>
      </w:r>
    </w:p>
    <w:p>
      <w:pPr>
        <w:pStyle w:val="ListParagraph"/>
        <w:numPr>
          <w:ilvl w:val="0"/>
          <w:numId w:val="4"/>
        </w:numPr>
        <w:spacing w:after="80"/>
      </w:pPr>
      <w:r>
        <w:rPr>
          <w:sz w:val="18"/>
          <w:szCs w:val="18"/>
        </w:rPr>
        <w:t xml:space="preserve">Hijazi Y, Gondal U, Aziz O. A systematic review of prehabilitation programs in abdominal cancer surgery. Int J Surg. 2017;39:156-162. doi:10.1016/j.ijsu.2017.01.111. PMID: 28161527.</w:t>
      </w:r>
    </w:p>
    <w:p>
      <w:pPr>
        <w:pStyle w:val="ListParagraph"/>
        <w:numPr>
          <w:ilvl w:val="0"/>
          <w:numId w:val="4"/>
        </w:numPr>
        <w:spacing w:after="80"/>
      </w:pPr>
      <w:r>
        <w:rPr>
          <w:sz w:val="18"/>
          <w:szCs w:val="18"/>
        </w:rPr>
        <w:t xml:space="preserve">Haig KM, Sutton S, Whittington J. SBAR: a shared mental model for improving communication between clinicians. Jt Comm J Qual Patient Saf. 2006;32(3):167-75. doi:10.1016/s1553-7250(06)32022-3. PMID: 16617948.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Prehabilitación quirúrgica – Documento de referencia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00" w:hanging="500"/>
      </w:pPr>
      <w:rPr>
        <w:sz w:val="18"/>
        <w:szCs w:val="1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1F4E79"/>
      <w:sz w:val="25"/>
      <w:szCs w:val="25"/>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Prehabilitación quirúrgica – Documento de referencia</dc:title>
  <dc:creator>Docente guía</dc:creator>
  <cp:lastModifiedBy>Un-named</cp:lastModifiedBy>
  <cp:revision>1</cp:revision>
  <dcterms:created xsi:type="dcterms:W3CDTF">2026-10-13T01:01:11.080Z</dcterms:created>
  <dcterms:modified xsi:type="dcterms:W3CDTF">2026-10-13T01:01:11.080Z</dcterms:modified>
</cp:coreProperties>
</file>

<file path=docProps/custom.xml><?xml version="1.0" encoding="utf-8"?>
<Properties xmlns="http://schemas.openxmlformats.org/officeDocument/2006/custom-properties" xmlns:vt="http://schemas.openxmlformats.org/officeDocument/2006/docPropsVTypes"/>
</file>