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0EA5E9"/>
          <w:sz w:val="72"/>
        </w:rPr>
        <w:t>DataClean Pro</w:t>
      </w:r>
    </w:p>
    <w:p>
      <w:pPr>
        <w:jc w:val="center"/>
      </w:pPr>
      <w:r>
        <w:rPr>
          <w:color w:val="0C4A6E"/>
          <w:sz w:val="40"/>
        </w:rPr>
        <w:t>Manual de Usuario</w:t>
      </w:r>
    </w:p>
    <w:p>
      <w:pPr>
        <w:spacing w:after="160"/>
      </w:pPr>
    </w:p>
    <w:p>
      <w:pPr>
        <w:jc w:val="center"/>
      </w:pPr>
      <w:r>
        <w:rPr>
          <w:color w:val="64748B"/>
          <w:sz w:val="22"/>
        </w:rPr>
        <w:t>Versión 1.0  ·  Análisis e Imputación de Datos CSV</w:t>
      </w:r>
    </w:p>
    <w:p>
      <w:pPr>
        <w:spacing w:after="80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ea5e9"/>
          </w:tcPr>
          <w:p>
            <w:r>
              <w:rPr>
                <w:b/>
                <w:color w:val="FFFFFF"/>
                <w:sz w:val="22"/>
              </w:rPr>
              <w:t>Campo</w:t>
            </w:r>
          </w:p>
        </w:tc>
        <w:tc>
          <w:tcPr>
            <w:tcW w:type="dxa" w:w="4680"/>
            <w:shd w:val="clear" w:color="auto" w:fill="0ea5e9"/>
          </w:tcPr>
          <w:p>
            <w:r>
              <w:rPr>
                <w:b/>
                <w:color w:val="FFFFFF"/>
                <w:sz w:val="22"/>
              </w:rPr>
              <w:t>Valor</w:t>
            </w:r>
          </w:p>
        </w:tc>
      </w:tr>
      <w:tr>
        <w:tc>
          <w:tcPr>
            <w:tcW w:type="dxa" w:w="4680"/>
          </w:tcPr>
          <w:p>
            <w:r>
              <w:rPr>
                <w:sz w:val="22"/>
              </w:rPr>
              <w:t>Autores</w:t>
            </w:r>
          </w:p>
        </w:tc>
        <w:tc>
          <w:tcPr>
            <w:tcW w:type="dxa" w:w="4680"/>
          </w:tcPr>
          <w:p>
            <w:r>
              <w:rPr>
                <w:sz w:val="22"/>
              </w:rPr>
              <w:t>Sergio Osorio  &amp;  Cesar Villanueva</w:t>
            </w:r>
          </w:p>
        </w:tc>
      </w:tr>
      <w:tr>
        <w:tc>
          <w:tcPr>
            <w:tcW w:type="dxa" w:w="4680"/>
          </w:tcPr>
          <w:p>
            <w:r>
              <w:rPr>
                <w:sz w:val="22"/>
              </w:rPr>
              <w:t>Asignatura</w:t>
            </w:r>
          </w:p>
        </w:tc>
        <w:tc>
          <w:tcPr>
            <w:tcW w:type="dxa" w:w="4680"/>
          </w:tcPr>
          <w:p>
            <w:r>
              <w:rPr>
                <w:sz w:val="22"/>
              </w:rPr>
              <w:t>Análisis de Datos · 2025</w:t>
            </w:r>
          </w:p>
        </w:tc>
      </w:tr>
    </w:tbl>
    <w:p>
      <w:r>
        <w:br w:type="page"/>
      </w:r>
    </w:p>
    <w:p>
      <w:pPr>
        <w:pStyle w:val="Heading1"/>
        <w:spacing w:before="320" w:after="120"/>
        <w:pBdr>
          <w:top w:val="single" w:sz="12" w:space="4" w:color="0ea5e9"/>
        </w:pBdr>
      </w:pPr>
      <w:r>
        <w:rPr>
          <w:color w:val="0C4A6E"/>
          <w:sz w:val="36"/>
        </w:rPr>
        <w:t>Tabla de Contenidos</w:t>
      </w:r>
    </w:p>
    <w:tbl>
      <w:tblPr>
        <w:tblW w:type="auto" w:w="0"/>
        <w:jc w:val="left"/>
        <w:tblLook w:firstColumn="1" w:firstRow="1" w:lastColumn="0" w:lastRow="0" w:noHBand="0" w:noVBand="1" w:val="04A0"/>
      </w:tblPr>
      <w:tblGrid>
        <w:gridCol w:w="3120"/>
        <w:gridCol w:w="3120"/>
        <w:gridCol w:w="3120"/>
      </w:tblGrid>
      <w:tr>
        <w:tc>
          <w:tcPr>
            <w:tcW w:type="dxa" w:w="3120"/>
          </w:tcPr>
          <w:p>
            <w:pPr>
              <w:spacing w:after="80"/>
            </w:pPr>
            <w:r>
              <w:rPr>
                <w:sz w:val="21"/>
              </w:rPr>
              <w:t>1.</w:t>
            </w:r>
          </w:p>
        </w:tc>
        <w:tc>
          <w:tcPr>
            <w:tcW w:type="dxa" w:w="3120"/>
          </w:tcPr>
          <w:p>
            <w:pPr>
              <w:spacing w:after="80"/>
            </w:pPr>
            <w:r>
              <w:rPr>
                <w:sz w:val="21"/>
              </w:rPr>
              <w:t>Introducción</w:t>
            </w:r>
          </w:p>
        </w:tc>
        <w:tc>
          <w:tcPr>
            <w:tcW w:type="dxa" w:w="3120"/>
          </w:tcPr>
          <w:p>
            <w:pPr>
              <w:spacing w:after="80"/>
            </w:pPr>
            <w:r>
              <w:rPr>
                <w:color w:val="64748B"/>
                <w:sz w:val="21"/>
              </w:rPr>
              <w:t>3</w:t>
            </w:r>
          </w:p>
        </w:tc>
      </w:tr>
      <w:tr>
        <w:tc>
          <w:tcPr>
            <w:tcW w:type="dxa" w:w="3120"/>
          </w:tcPr>
          <w:p>
            <w:pPr>
              <w:spacing w:after="80"/>
            </w:pPr>
            <w:r>
              <w:rPr>
                <w:sz w:val="21"/>
              </w:rPr>
              <w:t>2.</w:t>
            </w:r>
          </w:p>
        </w:tc>
        <w:tc>
          <w:tcPr>
            <w:tcW w:type="dxa" w:w="3120"/>
          </w:tcPr>
          <w:p>
            <w:pPr>
              <w:spacing w:after="80"/>
            </w:pPr>
            <w:r>
              <w:rPr>
                <w:sz w:val="21"/>
              </w:rPr>
              <w:t>Requisitos e Instalación</w:t>
            </w:r>
          </w:p>
        </w:tc>
        <w:tc>
          <w:tcPr>
            <w:tcW w:type="dxa" w:w="3120"/>
          </w:tcPr>
          <w:p>
            <w:pPr>
              <w:spacing w:after="80"/>
            </w:pPr>
            <w:r>
              <w:rPr>
                <w:color w:val="64748B"/>
                <w:sz w:val="21"/>
              </w:rPr>
              <w:t>3</w:t>
            </w:r>
          </w:p>
        </w:tc>
      </w:tr>
      <w:tr>
        <w:tc>
          <w:tcPr>
            <w:tcW w:type="dxa" w:w="3120"/>
          </w:tcPr>
          <w:p>
            <w:pPr>
              <w:spacing w:after="80"/>
            </w:pPr>
            <w:r>
              <w:rPr>
                <w:sz w:val="21"/>
              </w:rPr>
              <w:t>3.</w:t>
            </w:r>
          </w:p>
        </w:tc>
        <w:tc>
          <w:tcPr>
            <w:tcW w:type="dxa" w:w="3120"/>
          </w:tcPr>
          <w:p>
            <w:pPr>
              <w:spacing w:after="80"/>
            </w:pPr>
            <w:r>
              <w:rPr>
                <w:sz w:val="21"/>
              </w:rPr>
              <w:t>Interfaz Principal</w:t>
            </w:r>
          </w:p>
        </w:tc>
        <w:tc>
          <w:tcPr>
            <w:tcW w:type="dxa" w:w="3120"/>
          </w:tcPr>
          <w:p>
            <w:pPr>
              <w:spacing w:after="80"/>
            </w:pPr>
            <w:r>
              <w:rPr>
                <w:color w:val="64748B"/>
                <w:sz w:val="21"/>
              </w:rPr>
              <w:t>4</w:t>
            </w:r>
          </w:p>
        </w:tc>
      </w:tr>
      <w:tr>
        <w:tc>
          <w:tcPr>
            <w:tcW w:type="dxa" w:w="3120"/>
          </w:tcPr>
          <w:p>
            <w:pPr>
              <w:spacing w:after="80"/>
            </w:pPr>
            <w:r>
              <w:rPr>
                <w:sz w:val="21"/>
              </w:rPr>
              <w:t>4.</w:t>
            </w:r>
          </w:p>
        </w:tc>
        <w:tc>
          <w:tcPr>
            <w:tcW w:type="dxa" w:w="3120"/>
          </w:tcPr>
          <w:p>
            <w:pPr>
              <w:spacing w:after="80"/>
            </w:pPr>
            <w:r>
              <w:rPr>
                <w:sz w:val="21"/>
              </w:rPr>
              <w:t>Paso 1 — Carga del Dataset</w:t>
            </w:r>
          </w:p>
        </w:tc>
        <w:tc>
          <w:tcPr>
            <w:tcW w:type="dxa" w:w="3120"/>
          </w:tcPr>
          <w:p>
            <w:pPr>
              <w:spacing w:after="80"/>
            </w:pPr>
            <w:r>
              <w:rPr>
                <w:color w:val="64748B"/>
                <w:sz w:val="21"/>
              </w:rPr>
              <w:t>4</w:t>
            </w:r>
          </w:p>
        </w:tc>
      </w:tr>
      <w:tr>
        <w:tc>
          <w:tcPr>
            <w:tcW w:type="dxa" w:w="3120"/>
          </w:tcPr>
          <w:p>
            <w:pPr>
              <w:spacing w:after="80"/>
            </w:pPr>
            <w:r>
              <w:rPr>
                <w:sz w:val="21"/>
              </w:rPr>
              <w:t>5.</w:t>
            </w:r>
          </w:p>
        </w:tc>
        <w:tc>
          <w:tcPr>
            <w:tcW w:type="dxa" w:w="3120"/>
          </w:tcPr>
          <w:p>
            <w:pPr>
              <w:spacing w:after="80"/>
            </w:pPr>
            <w:r>
              <w:rPr>
                <w:sz w:val="21"/>
              </w:rPr>
              <w:t>Paso 2 — Análisis Exploratorio</w:t>
            </w:r>
          </w:p>
        </w:tc>
        <w:tc>
          <w:tcPr>
            <w:tcW w:type="dxa" w:w="3120"/>
          </w:tcPr>
          <w:p>
            <w:pPr>
              <w:spacing w:after="80"/>
            </w:pPr>
            <w:r>
              <w:rPr>
                <w:color w:val="64748B"/>
                <w:sz w:val="21"/>
              </w:rPr>
              <w:t>5</w:t>
            </w:r>
          </w:p>
        </w:tc>
      </w:tr>
      <w:tr>
        <w:tc>
          <w:tcPr>
            <w:tcW w:type="dxa" w:w="3120"/>
          </w:tcPr>
          <w:p>
            <w:pPr>
              <w:spacing w:after="80"/>
            </w:pPr>
            <w:r>
              <w:rPr>
                <w:sz w:val="21"/>
              </w:rPr>
              <w:t>6.</w:t>
            </w:r>
          </w:p>
        </w:tc>
        <w:tc>
          <w:tcPr>
            <w:tcW w:type="dxa" w:w="3120"/>
          </w:tcPr>
          <w:p>
            <w:pPr>
              <w:spacing w:after="80"/>
            </w:pPr>
            <w:r>
              <w:rPr>
                <w:sz w:val="21"/>
              </w:rPr>
              <w:t>Paso 3 — Imputación de Valores Faltantes</w:t>
            </w:r>
          </w:p>
        </w:tc>
        <w:tc>
          <w:tcPr>
            <w:tcW w:type="dxa" w:w="3120"/>
          </w:tcPr>
          <w:p>
            <w:pPr>
              <w:spacing w:after="80"/>
            </w:pPr>
            <w:r>
              <w:rPr>
                <w:color w:val="64748B"/>
                <w:sz w:val="21"/>
              </w:rPr>
              <w:t>7</w:t>
            </w:r>
          </w:p>
        </w:tc>
      </w:tr>
      <w:tr>
        <w:tc>
          <w:tcPr>
            <w:tcW w:type="dxa" w:w="3120"/>
          </w:tcPr>
          <w:p>
            <w:pPr>
              <w:spacing w:after="80"/>
            </w:pPr>
            <w:r>
              <w:rPr>
                <w:sz w:val="21"/>
              </w:rPr>
              <w:t xml:space="preserve">   6.1.</w:t>
            </w:r>
          </w:p>
        </w:tc>
        <w:tc>
          <w:tcPr>
            <w:tcW w:type="dxa" w:w="3120"/>
          </w:tcPr>
          <w:p>
            <w:pPr>
              <w:spacing w:after="80"/>
            </w:pPr>
            <w:r>
              <w:rPr>
                <w:sz w:val="21"/>
              </w:rPr>
              <w:t>Técnicas Estadísticas</w:t>
            </w:r>
          </w:p>
        </w:tc>
        <w:tc>
          <w:tcPr>
            <w:tcW w:type="dxa" w:w="3120"/>
          </w:tcPr>
          <w:p>
            <w:pPr>
              <w:spacing w:after="80"/>
            </w:pPr>
            <w:r>
              <w:rPr>
                <w:color w:val="64748B"/>
                <w:sz w:val="21"/>
              </w:rPr>
              <w:t>8</w:t>
            </w:r>
          </w:p>
        </w:tc>
      </w:tr>
      <w:tr>
        <w:tc>
          <w:tcPr>
            <w:tcW w:type="dxa" w:w="3120"/>
          </w:tcPr>
          <w:p>
            <w:pPr>
              <w:spacing w:after="80"/>
            </w:pPr>
            <w:r>
              <w:rPr>
                <w:sz w:val="21"/>
              </w:rPr>
              <w:t xml:space="preserve">   6.2.</w:t>
            </w:r>
          </w:p>
        </w:tc>
        <w:tc>
          <w:tcPr>
            <w:tcW w:type="dxa" w:w="3120"/>
          </w:tcPr>
          <w:p>
            <w:pPr>
              <w:spacing w:after="80"/>
            </w:pPr>
            <w:r>
              <w:rPr>
                <w:sz w:val="21"/>
              </w:rPr>
              <w:t>Técnicas de Machine Learning</w:t>
            </w:r>
          </w:p>
        </w:tc>
        <w:tc>
          <w:tcPr>
            <w:tcW w:type="dxa" w:w="3120"/>
          </w:tcPr>
          <w:p>
            <w:pPr>
              <w:spacing w:after="80"/>
            </w:pPr>
            <w:r>
              <w:rPr>
                <w:color w:val="64748B"/>
                <w:sz w:val="21"/>
              </w:rPr>
              <w:t>9</w:t>
            </w:r>
          </w:p>
        </w:tc>
      </w:tr>
      <w:tr>
        <w:tc>
          <w:tcPr>
            <w:tcW w:type="dxa" w:w="3120"/>
          </w:tcPr>
          <w:p>
            <w:pPr>
              <w:spacing w:after="80"/>
            </w:pPr>
            <w:r>
              <w:rPr>
                <w:sz w:val="21"/>
              </w:rPr>
              <w:t xml:space="preserve">   6.3.</w:t>
            </w:r>
          </w:p>
        </w:tc>
        <w:tc>
          <w:tcPr>
            <w:tcW w:type="dxa" w:w="3120"/>
          </w:tcPr>
          <w:p>
            <w:pPr>
              <w:spacing w:after="80"/>
            </w:pPr>
            <w:r>
              <w:rPr>
                <w:sz w:val="21"/>
              </w:rPr>
              <w:t>Aplicar la Imputación</w:t>
            </w:r>
          </w:p>
        </w:tc>
        <w:tc>
          <w:tcPr>
            <w:tcW w:type="dxa" w:w="3120"/>
          </w:tcPr>
          <w:p>
            <w:pPr>
              <w:spacing w:after="80"/>
            </w:pPr>
            <w:r>
              <w:rPr>
                <w:color w:val="64748B"/>
                <w:sz w:val="21"/>
              </w:rPr>
              <w:t>10</w:t>
            </w:r>
          </w:p>
        </w:tc>
      </w:tr>
      <w:tr>
        <w:tc>
          <w:tcPr>
            <w:tcW w:type="dxa" w:w="3120"/>
          </w:tcPr>
          <w:p>
            <w:pPr>
              <w:spacing w:after="80"/>
            </w:pPr>
            <w:r>
              <w:rPr>
                <w:sz w:val="21"/>
              </w:rPr>
              <w:t>7.</w:t>
            </w:r>
          </w:p>
        </w:tc>
        <w:tc>
          <w:tcPr>
            <w:tcW w:type="dxa" w:w="3120"/>
          </w:tcPr>
          <w:p>
            <w:pPr>
              <w:spacing w:after="80"/>
            </w:pPr>
            <w:r>
              <w:rPr>
                <w:sz w:val="21"/>
              </w:rPr>
              <w:t>Paso 4 — Comparación y Exportación</w:t>
            </w:r>
          </w:p>
        </w:tc>
        <w:tc>
          <w:tcPr>
            <w:tcW w:type="dxa" w:w="3120"/>
          </w:tcPr>
          <w:p>
            <w:pPr>
              <w:spacing w:after="80"/>
            </w:pPr>
            <w:r>
              <w:rPr>
                <w:color w:val="64748B"/>
                <w:sz w:val="21"/>
              </w:rPr>
              <w:t>10</w:t>
            </w:r>
          </w:p>
        </w:tc>
      </w:tr>
      <w:tr>
        <w:tc>
          <w:tcPr>
            <w:tcW w:type="dxa" w:w="3120"/>
          </w:tcPr>
          <w:p>
            <w:pPr>
              <w:spacing w:after="80"/>
            </w:pPr>
            <w:r>
              <w:rPr>
                <w:sz w:val="21"/>
              </w:rPr>
              <w:t>8.</w:t>
            </w:r>
          </w:p>
        </w:tc>
        <w:tc>
          <w:tcPr>
            <w:tcW w:type="dxa" w:w="3120"/>
          </w:tcPr>
          <w:p>
            <w:pPr>
              <w:spacing w:after="80"/>
            </w:pPr>
            <w:r>
              <w:rPr>
                <w:sz w:val="21"/>
              </w:rPr>
              <w:t>Referencia Rápida de Técnicas</w:t>
            </w:r>
          </w:p>
        </w:tc>
        <w:tc>
          <w:tcPr>
            <w:tcW w:type="dxa" w:w="3120"/>
          </w:tcPr>
          <w:p>
            <w:pPr>
              <w:spacing w:after="80"/>
            </w:pPr>
            <w:r>
              <w:rPr>
                <w:color w:val="64748B"/>
                <w:sz w:val="21"/>
              </w:rPr>
              <w:t>11</w:t>
            </w:r>
          </w:p>
        </w:tc>
      </w:tr>
      <w:tr>
        <w:tc>
          <w:tcPr>
            <w:tcW w:type="dxa" w:w="3120"/>
          </w:tcPr>
          <w:p>
            <w:pPr>
              <w:spacing w:after="80"/>
            </w:pPr>
            <w:r>
              <w:rPr>
                <w:sz w:val="21"/>
              </w:rPr>
              <w:t>9.</w:t>
            </w:r>
          </w:p>
        </w:tc>
        <w:tc>
          <w:tcPr>
            <w:tcW w:type="dxa" w:w="3120"/>
          </w:tcPr>
          <w:p>
            <w:pPr>
              <w:spacing w:after="80"/>
            </w:pPr>
            <w:r>
              <w:rPr>
                <w:sz w:val="21"/>
              </w:rPr>
              <w:t>Glosario</w:t>
            </w:r>
          </w:p>
        </w:tc>
        <w:tc>
          <w:tcPr>
            <w:tcW w:type="dxa" w:w="3120"/>
          </w:tcPr>
          <w:p>
            <w:pPr>
              <w:spacing w:after="80"/>
            </w:pPr>
            <w:r>
              <w:rPr>
                <w:color w:val="64748B"/>
                <w:sz w:val="21"/>
              </w:rPr>
              <w:t>12</w:t>
            </w:r>
          </w:p>
        </w:tc>
      </w:tr>
    </w:tbl>
    <w:p>
      <w:r>
        <w:br w:type="page"/>
      </w:r>
    </w:p>
    <w:p>
      <w:pPr>
        <w:pStyle w:val="Heading1"/>
        <w:spacing w:before="320" w:after="120"/>
        <w:pBdr>
          <w:top w:val="single" w:sz="12" w:space="4" w:color="0ea5e9"/>
        </w:pBdr>
      </w:pPr>
      <w:r>
        <w:rPr>
          <w:color w:val="0C4A6E"/>
          <w:sz w:val="36"/>
        </w:rPr>
        <w:t>1. Introducción</w:t>
      </w:r>
    </w:p>
    <w:p>
      <w:pPr>
        <w:spacing w:after="120"/>
      </w:pPr>
      <w:r>
        <w:rPr>
          <w:sz w:val="22"/>
        </w:rPr>
        <w:t>DataClean Pro es una herramienta web de análisis y limpieza de datos en formato CSV. Permite cargar un dataset, explorar sus estadísticas descriptivas, aplicar técnicas de imputación de valores faltantes y descargar el resultado limpio, todo desde el navegador sin necesidad de instalar software adicional.</w:t>
      </w:r>
    </w:p>
    <w:p>
      <w:pPr>
        <w:spacing w:after="120"/>
      </w:pPr>
      <w:r>
        <w:rPr>
          <w:sz w:val="22"/>
        </w:rPr>
        <w:t>La aplicación implementa 8 técnicas de imputación, desde métodos estadísticos clásicos (Media, Mediana, Moda) hasta algoritmos de Machine Learning avanzados (Árbol de Decisión y Red Neuronal MLP), con fórmulas matemáticas renderizadas en KaTeX y diagramas SVG interactivos para cada técnica.</w:t>
      </w:r>
    </w:p>
    <w:p>
      <w:pPr>
        <w:pStyle w:val="Heading2"/>
        <w:spacing w:before="240" w:after="80"/>
      </w:pPr>
      <w:r>
        <w:rPr>
          <w:color w:val="0EA5E9"/>
          <w:sz w:val="26"/>
        </w:rPr>
        <w:t>Características principales</w:t>
      </w:r>
    </w:p>
    <w:p>
      <w:pPr>
        <w:pStyle w:val="ListBullet"/>
        <w:spacing w:after="60"/>
      </w:pPr>
      <w:r>
        <w:rPr>
          <w:sz w:val="21"/>
        </w:rPr>
        <w:t>Carga de archivos CSV hasta 50 MB con detección automática de separador y codificación.</w:t>
      </w:r>
    </w:p>
    <w:p>
      <w:pPr>
        <w:pStyle w:val="ListBullet"/>
        <w:spacing w:after="60"/>
      </w:pPr>
      <w:r>
        <w:rPr>
          <w:sz w:val="21"/>
        </w:rPr>
        <w:t>Análisis exploratorio con histogramas SVG, boxplots, heatmap de nulos y estadísticas completas.</w:t>
      </w:r>
    </w:p>
    <w:p>
      <w:pPr>
        <w:pStyle w:val="ListBullet"/>
        <w:spacing w:after="60"/>
      </w:pPr>
      <w:r>
        <w:rPr>
          <w:sz w:val="21"/>
        </w:rPr>
        <w:t>8 técnicas de imputación con modelo matemático KaTeX y ejemplo calculado con datos reales.</w:t>
      </w:r>
    </w:p>
    <w:p>
      <w:pPr>
        <w:pStyle w:val="ListBullet"/>
        <w:spacing w:after="60"/>
      </w:pPr>
      <w:r>
        <w:rPr>
          <w:sz w:val="21"/>
        </w:rPr>
        <w:t>Diagramas SVG de árbol de decisión y red neuronal para las técnicas de ML.</w:t>
      </w:r>
    </w:p>
    <w:p>
      <w:pPr>
        <w:pStyle w:val="ListBullet"/>
        <w:spacing w:after="60"/>
      </w:pPr>
      <w:r>
        <w:rPr>
          <w:sz w:val="21"/>
        </w:rPr>
        <w:t>Comparación visual antes/después con celdas resaltadas.</w:t>
      </w:r>
    </w:p>
    <w:p>
      <w:pPr>
        <w:pStyle w:val="ListBullet"/>
        <w:spacing w:after="60"/>
      </w:pPr>
      <w:r>
        <w:rPr>
          <w:sz w:val="21"/>
        </w:rPr>
        <w:t>Descarga del CSV limpio con nombre descriptivo (columna + técnica + fecha).</w:t>
      </w:r>
    </w:p>
    <w:p>
      <w:pPr>
        <w:pStyle w:val="ListBullet"/>
        <w:spacing w:after="60"/>
      </w:pPr>
      <w:r>
        <w:rPr>
          <w:sz w:val="21"/>
        </w:rPr>
        <w:t>Tema oscuro académico con tipografía IBM Plex.</w:t>
      </w:r>
    </w:p>
    <w:p>
      <w:pPr>
        <w:pStyle w:val="ListBullet"/>
        <w:spacing w:after="60"/>
      </w:pPr>
      <w:r>
        <w:rPr>
          <w:sz w:val="21"/>
        </w:rPr>
        <w:t>3 datasets de ejemplo incluidos: Titanic, Pacientes Médicos y Empleados RRHH.</w:t>
      </w:r>
    </w:p>
    <w:p>
      <w:r>
        <w:br w:type="page"/>
      </w:r>
    </w:p>
    <w:p>
      <w:pPr>
        <w:pStyle w:val="Heading1"/>
        <w:spacing w:before="320" w:after="120"/>
        <w:pBdr>
          <w:top w:val="single" w:sz="12" w:space="4" w:color="0ea5e9"/>
        </w:pBdr>
      </w:pPr>
      <w:r>
        <w:rPr>
          <w:color w:val="0C4A6E"/>
          <w:sz w:val="36"/>
        </w:rPr>
        <w:t>2. Requisitos e Instalación</w:t>
      </w:r>
    </w:p>
    <w:p>
      <w:pPr>
        <w:pStyle w:val="Heading2"/>
        <w:spacing w:before="240" w:after="80"/>
      </w:pPr>
      <w:r>
        <w:rPr>
          <w:color w:val="0EA5E9"/>
          <w:sz w:val="26"/>
        </w:rPr>
        <w:t>Requisitos del sistema</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ea5e9"/>
          </w:tcPr>
          <w:p>
            <w:r>
              <w:rPr>
                <w:b/>
                <w:color w:val="FFFFFF"/>
                <w:sz w:val="21"/>
              </w:rPr>
              <w:t>Componente</w:t>
            </w:r>
          </w:p>
        </w:tc>
        <w:tc>
          <w:tcPr>
            <w:tcW w:type="dxa" w:w="4680"/>
            <w:shd w:val="clear" w:color="auto" w:fill="0ea5e9"/>
          </w:tcPr>
          <w:p>
            <w:r>
              <w:rPr>
                <w:b/>
                <w:color w:val="FFFFFF"/>
                <w:sz w:val="21"/>
              </w:rPr>
              <w:t>Requisito</w:t>
            </w:r>
          </w:p>
        </w:tc>
      </w:tr>
      <w:tr>
        <w:tc>
          <w:tcPr>
            <w:tcW w:type="dxa" w:w="4680"/>
          </w:tcPr>
          <w:p>
            <w:r>
              <w:rPr>
                <w:sz w:val="21"/>
              </w:rPr>
              <w:t>Python</w:t>
            </w:r>
          </w:p>
        </w:tc>
        <w:tc>
          <w:tcPr>
            <w:tcW w:type="dxa" w:w="4680"/>
          </w:tcPr>
          <w:p>
            <w:r>
              <w:rPr>
                <w:sz w:val="21"/>
              </w:rPr>
              <w:t>3.10 o superior</w:t>
            </w:r>
          </w:p>
        </w:tc>
      </w:tr>
      <w:tr>
        <w:tc>
          <w:tcPr>
            <w:tcW w:type="dxa" w:w="4680"/>
          </w:tcPr>
          <w:p>
            <w:r>
              <w:rPr>
                <w:sz w:val="21"/>
              </w:rPr>
              <w:t>Navegador</w:t>
            </w:r>
          </w:p>
        </w:tc>
        <w:tc>
          <w:tcPr>
            <w:tcW w:type="dxa" w:w="4680"/>
          </w:tcPr>
          <w:p>
            <w:r>
              <w:rPr>
                <w:sz w:val="21"/>
              </w:rPr>
              <w:t>Chrome, Firefox, Edge (versión moderna)</w:t>
            </w:r>
          </w:p>
        </w:tc>
      </w:tr>
      <w:tr>
        <w:tc>
          <w:tcPr>
            <w:tcW w:type="dxa" w:w="4680"/>
          </w:tcPr>
          <w:p>
            <w:r>
              <w:rPr>
                <w:sz w:val="21"/>
              </w:rPr>
              <w:t>Red</w:t>
            </w:r>
          </w:p>
        </w:tc>
        <w:tc>
          <w:tcPr>
            <w:tcW w:type="dxa" w:w="4680"/>
          </w:tcPr>
          <w:p>
            <w:r>
              <w:rPr>
                <w:sz w:val="21"/>
              </w:rPr>
              <w:t>Conexión a internet solo para CDN (KaTeX, fuentes)</w:t>
            </w:r>
          </w:p>
        </w:tc>
      </w:tr>
    </w:tbl>
    <w:p>
      <w:pPr>
        <w:spacing w:after="120"/>
      </w:pPr>
    </w:p>
    <w:p>
      <w:pPr>
        <w:pStyle w:val="Heading2"/>
        <w:spacing w:before="240" w:after="80"/>
      </w:pPr>
      <w:r>
        <w:rPr>
          <w:color w:val="0EA5E9"/>
          <w:sz w:val="26"/>
        </w:rPr>
        <w:t>Instalación (primera vez)</w:t>
      </w:r>
    </w:p>
    <w:p>
      <w:pPr>
        <w:spacing w:after="120"/>
      </w:pPr>
      <w:r>
        <w:rPr>
          <w:sz w:val="22"/>
        </w:rPr>
        <w:t>Ejecutar los siguientes comandos en PowerShell o terminal desde la carpeta del proyecto:</w:t>
      </w:r>
    </w:p>
    <w:p>
      <w:pPr>
        <w:spacing w:before="80" w:after="80"/>
        <w:ind w:left="576"/>
      </w:pPr>
      <w:r>
        <w:rPr>
          <w:rFonts w:ascii="Courier New" w:hAnsi="Courier New"/>
          <w:color w:val="0EA5E9"/>
          <w:sz w:val="20"/>
        </w:rPr>
        <w:t>git clone https://github.com/Sergio-Osorio09/DataClean.git</w:t>
        <w:br/>
        <w:t>cd DataClean</w:t>
        <w:br/>
        <w:t>pip install -r requirements.txt</w:t>
      </w:r>
    </w:p>
    <w:p>
      <w:pPr>
        <w:pStyle w:val="Heading2"/>
        <w:spacing w:before="240" w:after="80"/>
      </w:pPr>
      <w:r>
        <w:rPr>
          <w:color w:val="0EA5E9"/>
          <w:sz w:val="26"/>
        </w:rPr>
        <w:t>Arranque del servidor</w:t>
      </w:r>
    </w:p>
    <w:p>
      <w:pPr>
        <w:spacing w:after="120"/>
      </w:pPr>
      <w:r>
        <w:rPr>
          <w:sz w:val="22"/>
        </w:rPr>
        <w:t>Una vez instaladas las dependencias, arrancar la aplicación con:</w:t>
      </w:r>
    </w:p>
    <w:p>
      <w:pPr>
        <w:spacing w:before="80" w:after="160"/>
        <w:ind w:left="576"/>
      </w:pPr>
      <w:r>
        <w:rPr>
          <w:rFonts w:ascii="Courier New" w:hAnsi="Courier New"/>
          <w:color w:val="0EA5E9"/>
          <w:sz w:val="22"/>
        </w:rPr>
        <w:t>python main.py</w:t>
      </w:r>
    </w:p>
    <w:p>
      <w:pPr>
        <w:spacing w:after="120"/>
      </w:pPr>
      <w:r>
        <w:rPr>
          <w:sz w:val="22"/>
        </w:rPr>
        <w:t>El servidor se inicia en http://127.0.0.1:8000 y abre el navegador automáticamente. Todos los datos permanecen en la máquina local — no se envía información a servidores externos.</w:t>
      </w:r>
    </w:p>
    <w:p>
      <w:r>
        <w:br w:type="page"/>
      </w:r>
    </w:p>
    <w:p>
      <w:pPr>
        <w:pStyle w:val="Heading1"/>
        <w:spacing w:before="320" w:after="120"/>
        <w:pBdr>
          <w:top w:val="single" w:sz="12" w:space="4" w:color="0ea5e9"/>
        </w:pBdr>
      </w:pPr>
      <w:r>
        <w:rPr>
          <w:color w:val="0C4A6E"/>
          <w:sz w:val="36"/>
        </w:rPr>
        <w:t>3. Interfaz Principal</w:t>
      </w:r>
    </w:p>
    <w:p>
      <w:pPr>
        <w:spacing w:after="120"/>
      </w:pPr>
      <w:r>
        <w:rPr>
          <w:sz w:val="22"/>
        </w:rPr>
        <w:t>La interfaz de DataClean Pro es una aplicación de una sola página (SPA) organizada en cuatro pasos secuenciales que se muestran en la barra de navegación superior (stepper).</w:t>
      </w:r>
    </w:p>
    <w:p>
      <w:pPr>
        <w:pStyle w:val="Heading2"/>
        <w:spacing w:before="240" w:after="80"/>
      </w:pPr>
      <w:r>
        <w:rPr>
          <w:color w:val="0EA5E9"/>
          <w:sz w:val="26"/>
        </w:rPr>
        <w:t>Elementos de la interfaz</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c4a6e"/>
          </w:tcPr>
          <w:p>
            <w:r>
              <w:rPr>
                <w:b/>
                <w:color w:val="FFFFFF"/>
                <w:sz w:val="21"/>
              </w:rPr>
              <w:t>Elemento</w:t>
            </w:r>
          </w:p>
        </w:tc>
        <w:tc>
          <w:tcPr>
            <w:tcW w:type="dxa" w:w="4680"/>
            <w:shd w:val="clear" w:color="auto" w:fill="0c4a6e"/>
          </w:tcPr>
          <w:p>
            <w:r>
              <w:rPr>
                <w:b/>
                <w:color w:val="FFFFFF"/>
                <w:sz w:val="21"/>
              </w:rPr>
              <w:t>Descripción</w:t>
            </w:r>
          </w:p>
        </w:tc>
      </w:tr>
      <w:tr>
        <w:tc>
          <w:tcPr>
            <w:tcW w:type="dxa" w:w="4680"/>
          </w:tcPr>
          <w:p>
            <w:r>
              <w:rPr>
                <w:sz w:val="21"/>
              </w:rPr>
              <w:t>Topbar</w:t>
            </w:r>
          </w:p>
        </w:tc>
        <w:tc>
          <w:tcPr>
            <w:tcW w:type="dxa" w:w="4680"/>
          </w:tcPr>
          <w:p>
            <w:r>
              <w:rPr>
                <w:sz w:val="21"/>
              </w:rPr>
              <w:t>Logo, stepper de 4 pasos, badge de autores y dirección del servidor.</w:t>
            </w:r>
          </w:p>
        </w:tc>
      </w:tr>
      <w:tr>
        <w:tc>
          <w:tcPr>
            <w:tcW w:type="dxa" w:w="4680"/>
          </w:tcPr>
          <w:p>
            <w:r>
              <w:rPr>
                <w:sz w:val="21"/>
              </w:rPr>
              <w:t>Stepper (01–04)</w:t>
            </w:r>
          </w:p>
        </w:tc>
        <w:tc>
          <w:tcPr>
            <w:tcW w:type="dxa" w:w="4680"/>
          </w:tcPr>
          <w:p>
            <w:r>
              <w:rPr>
                <w:sz w:val="21"/>
              </w:rPr>
              <w:t>Muestra el paso activo. Los pasos completados quedan marcados con ✓.</w:t>
            </w:r>
          </w:p>
        </w:tc>
      </w:tr>
      <w:tr>
        <w:tc>
          <w:tcPr>
            <w:tcW w:type="dxa" w:w="4680"/>
          </w:tcPr>
          <w:p>
            <w:r>
              <w:rPr>
                <w:sz w:val="21"/>
              </w:rPr>
              <w:t>Área de contenido</w:t>
            </w:r>
          </w:p>
        </w:tc>
        <w:tc>
          <w:tcPr>
            <w:tcW w:type="dxa" w:w="4680"/>
          </w:tcPr>
          <w:p>
            <w:r>
              <w:rPr>
                <w:sz w:val="21"/>
              </w:rPr>
              <w:t>Zona principal que cambia según el paso activo.</w:t>
            </w:r>
          </w:p>
        </w:tc>
      </w:tr>
      <w:tr>
        <w:tc>
          <w:tcPr>
            <w:tcW w:type="dxa" w:w="4680"/>
          </w:tcPr>
          <w:p>
            <w:r>
              <w:rPr>
                <w:sz w:val="21"/>
              </w:rPr>
              <w:t>Statusbar</w:t>
            </w:r>
          </w:p>
        </w:tc>
        <w:tc>
          <w:tcPr>
            <w:tcW w:type="dxa" w:w="4680"/>
          </w:tcPr>
          <w:p>
            <w:r>
              <w:rPr>
                <w:sz w:val="21"/>
              </w:rPr>
              <w:t>Barra inferior con versiones de Python/FastAPI/pandas, autores y estado de sesión.</w:t>
            </w:r>
          </w:p>
        </w:tc>
      </w:tr>
    </w:tbl>
    <w:p>
      <w:r>
        <w:br w:type="page"/>
      </w:r>
    </w:p>
    <w:tbl>
      <w:tblPr>
        <w:tblW w:type="auto" w:w="0"/>
        <w:jc w:val="left"/>
        <w:tblLook w:firstColumn="1" w:firstRow="1" w:lastColumn="0" w:lastRow="0" w:noHBand="0" w:noVBand="1" w:val="04A0"/>
      </w:tblPr>
      <w:tblGrid>
        <w:gridCol w:w="4680"/>
        <w:gridCol w:w="4680"/>
      </w:tblGrid>
      <w:tr>
        <w:tc>
          <w:tcPr>
            <w:tcW w:type="dxa" w:w="850"/>
            <w:shd w:val="clear" w:color="auto" w:fill="0ea5e9"/>
          </w:tcPr>
          <w:p>
            <w:pPr>
              <w:jc w:val="center"/>
            </w:pPr>
            <w:r>
              <w:rPr>
                <w:b/>
                <w:color w:val="FFFFFF"/>
                <w:sz w:val="32"/>
              </w:rPr>
              <w:t>01</w:t>
            </w:r>
          </w:p>
        </w:tc>
        <w:tc>
          <w:tcPr>
            <w:tcW w:type="dxa" w:w="8220"/>
            <w:shd w:val="clear" w:color="auto" w:fill="f0f9ff"/>
          </w:tcPr>
          <w:p>
            <w:pPr>
              <w:jc w:val="left"/>
            </w:pPr>
            <w:r>
              <w:rPr>
                <w:b/>
                <w:color w:val="0C4A6E"/>
                <w:sz w:val="24"/>
              </w:rPr>
              <w:t xml:space="preserve">  PASO 1 · CARGA DEL DATASET</w:t>
            </w:r>
          </w:p>
        </w:tc>
      </w:tr>
    </w:tbl>
    <w:p>
      <w:pPr>
        <w:spacing w:after="80"/>
      </w:pPr>
    </w:p>
    <w:p>
      <w:pPr>
        <w:spacing w:after="120"/>
      </w:pPr>
      <w:r>
        <w:rPr>
          <w:sz w:val="22"/>
        </w:rPr>
        <w:t>El primer paso permite subir el archivo CSV que se desea analizar. Se admiten archivos de hasta 50 MB con codificación UTF-8 o Latin-1; el separador (coma, punto y coma, tabulación) se detecta automáticamente.</w:t>
      </w:r>
    </w:p>
    <w:p>
      <w:pPr>
        <w:spacing w:before="120" w:after="40"/>
        <w:jc w:val="center"/>
      </w:pPr>
      <w:r>
        <w:drawing>
          <wp:inline xmlns:a="http://schemas.openxmlformats.org/drawingml/2006/main" xmlns:pic="http://schemas.openxmlformats.org/drawingml/2006/picture">
            <wp:extent cx="5577840" cy="28608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2860822"/>
                    </a:xfrm>
                    <a:prstGeom prst="rect"/>
                  </pic:spPr>
                </pic:pic>
              </a:graphicData>
            </a:graphic>
          </wp:inline>
        </w:drawing>
      </w:r>
    </w:p>
    <w:p>
      <w:pPr>
        <w:spacing w:after="200"/>
        <w:jc w:val="center"/>
      </w:pPr>
      <w:r>
        <w:rPr>
          <w:i/>
          <w:color w:val="64748B"/>
          <w:sz w:val="18"/>
        </w:rPr>
        <w:t>Figura: Pantalla de carga del dataset — Paso 01/04</w:t>
      </w:r>
    </w:p>
    <w:p>
      <w:pPr>
        <w:pStyle w:val="Heading2"/>
        <w:spacing w:before="240" w:after="80"/>
      </w:pPr>
      <w:r>
        <w:rPr>
          <w:color w:val="0EA5E9"/>
          <w:sz w:val="26"/>
        </w:rPr>
        <w:t>Opciones de carga</w:t>
      </w:r>
    </w:p>
    <w:p>
      <w:pPr>
        <w:pStyle w:val="ListBullet"/>
        <w:spacing w:after="60"/>
      </w:pPr>
      <w:r>
        <w:rPr>
          <w:sz w:val="21"/>
        </w:rPr>
        <w:t>Arrastrar y soltar: arrastra el archivo CSV directamente sobre el área de drop.</w:t>
      </w:r>
    </w:p>
    <w:p>
      <w:pPr>
        <w:pStyle w:val="ListBullet"/>
        <w:spacing w:after="60"/>
      </w:pPr>
      <w:r>
        <w:rPr>
          <w:sz w:val="21"/>
        </w:rPr>
        <w:t>Seleccionar archivo: clic en «Seleccionar archivo» para abrir el explorador de archivos.</w:t>
      </w:r>
    </w:p>
    <w:p>
      <w:pPr>
        <w:pStyle w:val="ListBullet"/>
        <w:spacing w:after="60"/>
      </w:pPr>
      <w:r>
        <w:rPr>
          <w:sz w:val="21"/>
        </w:rPr>
        <w:t>Dataset de ejemplo: clic en «Usar →» junto a cualquiera de los 3 datasets de ejemplo incluidos.</w:t>
      </w:r>
    </w:p>
    <w:p>
      <w:pPr>
        <w:pStyle w:val="Heading2"/>
        <w:spacing w:before="240" w:after="80"/>
      </w:pPr>
      <w:r>
        <w:rPr>
          <w:color w:val="0EA5E9"/>
          <w:sz w:val="26"/>
        </w:rPr>
        <w:t>Datasets de ejemplo incluidos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ea5e9"/>
          </w:tcPr>
          <w:p>
            <w:r>
              <w:rPr>
                <w:b/>
                <w:color w:val="FFFFFF"/>
                <w:sz w:val="20"/>
              </w:rPr>
              <w:t>Dataset</w:t>
            </w:r>
          </w:p>
        </w:tc>
        <w:tc>
          <w:tcPr>
            <w:tcW w:type="dxa" w:w="3120"/>
            <w:shd w:val="clear" w:color="auto" w:fill="0ea5e9"/>
          </w:tcPr>
          <w:p>
            <w:r>
              <w:rPr>
                <w:b/>
                <w:color w:val="FFFFFF"/>
                <w:sz w:val="20"/>
              </w:rPr>
              <w:t>Filas / Cols</w:t>
            </w:r>
          </w:p>
        </w:tc>
        <w:tc>
          <w:tcPr>
            <w:tcW w:type="dxa" w:w="3120"/>
            <w:shd w:val="clear" w:color="auto" w:fill="0ea5e9"/>
          </w:tcPr>
          <w:p>
            <w:r>
              <w:rPr>
                <w:b/>
                <w:color w:val="FFFFFF"/>
                <w:sz w:val="20"/>
              </w:rPr>
              <w:t>Columnas con nulos</w:t>
            </w:r>
          </w:p>
        </w:tc>
      </w:tr>
      <w:tr>
        <w:tc>
          <w:tcPr>
            <w:tcW w:type="dxa" w:w="3120"/>
          </w:tcPr>
          <w:p>
            <w:r>
              <w:rPr>
                <w:sz w:val="20"/>
              </w:rPr>
              <w:t>titanic_train.csv</w:t>
            </w:r>
          </w:p>
        </w:tc>
        <w:tc>
          <w:tcPr>
            <w:tcW w:type="dxa" w:w="3120"/>
          </w:tcPr>
          <w:p>
            <w:r>
              <w:rPr>
                <w:sz w:val="20"/>
              </w:rPr>
              <w:t>50 / 12</w:t>
            </w:r>
          </w:p>
        </w:tc>
        <w:tc>
          <w:tcPr>
            <w:tcW w:type="dxa" w:w="3120"/>
          </w:tcPr>
          <w:p>
            <w:r>
              <w:rPr>
                <w:sz w:val="20"/>
              </w:rPr>
              <w:t>Age, Cabin, Embarked</w:t>
            </w:r>
          </w:p>
        </w:tc>
      </w:tr>
      <w:tr>
        <w:tc>
          <w:tcPr>
            <w:tcW w:type="dxa" w:w="3120"/>
          </w:tcPr>
          <w:p>
            <w:r>
              <w:rPr>
                <w:sz w:val="20"/>
              </w:rPr>
              <w:t>pacientes_medicos.csv</w:t>
            </w:r>
          </w:p>
        </w:tc>
        <w:tc>
          <w:tcPr>
            <w:tcW w:type="dxa" w:w="3120"/>
          </w:tcPr>
          <w:p>
            <w:r>
              <w:rPr>
                <w:sz w:val="20"/>
              </w:rPr>
              <w:t>50 / 9</w:t>
            </w:r>
          </w:p>
        </w:tc>
        <w:tc>
          <w:tcPr>
            <w:tcW w:type="dxa" w:w="3120"/>
          </w:tcPr>
          <w:p>
            <w:r>
              <w:rPr>
                <w:sz w:val="20"/>
              </w:rPr>
              <w:t>Age, BloodPressure, Cholesterol, Glucose, BMI, Smoker</w:t>
            </w:r>
          </w:p>
        </w:tc>
      </w:tr>
      <w:tr>
        <w:tc>
          <w:tcPr>
            <w:tcW w:type="dxa" w:w="3120"/>
          </w:tcPr>
          <w:p>
            <w:r>
              <w:rPr>
                <w:sz w:val="20"/>
              </w:rPr>
              <w:t>empleados_rrhh.csv</w:t>
            </w:r>
          </w:p>
        </w:tc>
        <w:tc>
          <w:tcPr>
            <w:tcW w:type="dxa" w:w="3120"/>
          </w:tcPr>
          <w:p>
            <w:r>
              <w:rPr>
                <w:sz w:val="20"/>
              </w:rPr>
              <w:t>50 / 9</w:t>
            </w:r>
          </w:p>
        </w:tc>
        <w:tc>
          <w:tcPr>
            <w:tcW w:type="dxa" w:w="3120"/>
          </w:tcPr>
          <w:p>
            <w:r>
              <w:rPr>
                <w:sz w:val="20"/>
              </w:rPr>
              <w:t>Department, Age, Salary, YearsExp, PerformanceScore, Education</w:t>
            </w:r>
          </w:p>
        </w:tc>
      </w:tr>
    </w:tbl>
    <w:p>
      <w:pPr>
        <w:spacing w:after="120"/>
      </w:pPr>
    </w:p>
    <w:p>
      <w:pPr>
        <w:spacing w:after="120"/>
      </w:pPr>
      <w:r>
        <w:rPr>
          <w:sz w:val="22"/>
        </w:rPr>
        <w:t>Tras cargar correctamente el archivo, la aplicación avanza automáticamente al Paso 2 (Análisis). El nombre del archivo y el número de filas y columnas detectadas se confirman mediante un mensaje de éxito.</w:t>
      </w:r>
    </w:p>
    <w:p>
      <w:r>
        <w:br w:type="page"/>
      </w:r>
    </w:p>
    <w:tbl>
      <w:tblPr>
        <w:tblW w:type="auto" w:w="0"/>
        <w:jc w:val="left"/>
        <w:tblLook w:firstColumn="1" w:firstRow="1" w:lastColumn="0" w:lastRow="0" w:noHBand="0" w:noVBand="1" w:val="04A0"/>
      </w:tblPr>
      <w:tblGrid>
        <w:gridCol w:w="4680"/>
        <w:gridCol w:w="4680"/>
      </w:tblGrid>
      <w:tr>
        <w:tc>
          <w:tcPr>
            <w:tcW w:type="dxa" w:w="850"/>
            <w:shd w:val="clear" w:color="auto" w:fill="0ea5e9"/>
          </w:tcPr>
          <w:p>
            <w:pPr>
              <w:jc w:val="center"/>
            </w:pPr>
            <w:r>
              <w:rPr>
                <w:b/>
                <w:color w:val="FFFFFF"/>
                <w:sz w:val="32"/>
              </w:rPr>
              <w:t>02</w:t>
            </w:r>
          </w:p>
        </w:tc>
        <w:tc>
          <w:tcPr>
            <w:tcW w:type="dxa" w:w="8220"/>
            <w:shd w:val="clear" w:color="auto" w:fill="f0f9ff"/>
          </w:tcPr>
          <w:p>
            <w:pPr>
              <w:jc w:val="left"/>
            </w:pPr>
            <w:r>
              <w:rPr>
                <w:b/>
                <w:color w:val="0C4A6E"/>
                <w:sz w:val="24"/>
              </w:rPr>
              <w:t xml:space="preserve">  PASO 2 · ANÁLISIS EXPLORATORIO</w:t>
            </w:r>
          </w:p>
        </w:tc>
      </w:tr>
    </w:tbl>
    <w:p>
      <w:pPr>
        <w:spacing w:after="80"/>
      </w:pPr>
    </w:p>
    <w:p>
      <w:pPr>
        <w:spacing w:after="120"/>
      </w:pPr>
      <w:r>
        <w:rPr>
          <w:sz w:val="22"/>
        </w:rPr>
        <w:t>El dashboard de análisis muestra una visión completa del dataset: estadísticas descriptivas por columna, visualizaciones gráficas y un mapa de calor de valores faltantes.</w:t>
      </w:r>
    </w:p>
    <w:p>
      <w:pPr>
        <w:spacing w:before="120" w:after="40"/>
        <w:jc w:val="center"/>
      </w:pPr>
      <w:r>
        <w:drawing>
          <wp:inline xmlns:a="http://schemas.openxmlformats.org/drawingml/2006/main" xmlns:pic="http://schemas.openxmlformats.org/drawingml/2006/picture">
            <wp:extent cx="5577840" cy="286082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2860822"/>
                    </a:xfrm>
                    <a:prstGeom prst="rect"/>
                  </pic:spPr>
                </pic:pic>
              </a:graphicData>
            </a:graphic>
          </wp:inline>
        </w:drawing>
      </w:r>
    </w:p>
    <w:p>
      <w:pPr>
        <w:spacing w:after="200"/>
        <w:jc w:val="center"/>
      </w:pPr>
      <w:r>
        <w:rPr>
          <w:i/>
          <w:color w:val="64748B"/>
          <w:sz w:val="18"/>
        </w:rPr>
        <w:t>Figura: Dashboard de análisis exploratorio — Paso 02/04</w:t>
      </w:r>
    </w:p>
    <w:p>
      <w:pPr>
        <w:pStyle w:val="Heading2"/>
        <w:spacing w:before="240" w:after="80"/>
      </w:pPr>
      <w:r>
        <w:rPr>
          <w:color w:val="0EA5E9"/>
          <w:sz w:val="26"/>
        </w:rPr>
        <w:t>Panel de resumen global</w:t>
      </w:r>
    </w:p>
    <w:p>
      <w:pPr>
        <w:spacing w:after="120"/>
      </w:pPr>
      <w:r>
        <w:rPr>
          <w:sz w:val="22"/>
        </w:rPr>
        <w:t>En la parte superior aparece un resumen con: número total de filas, columnas, celdas, nulos totales y porcentaje de completitud global del dataset.</w:t>
      </w:r>
    </w:p>
    <w:p>
      <w:pPr>
        <w:pStyle w:val="Heading2"/>
        <w:spacing w:before="240" w:after="80"/>
      </w:pPr>
      <w:r>
        <w:rPr>
          <w:color w:val="0EA5E9"/>
          <w:sz w:val="26"/>
        </w:rPr>
        <w:t>Tarjeta por columna</w:t>
      </w:r>
    </w:p>
    <w:p>
      <w:pPr>
        <w:spacing w:after="120"/>
      </w:pPr>
      <w:r>
        <w:rPr>
          <w:sz w:val="22"/>
        </w:rPr>
        <w:t>Cada columna del dataset genera una tarjeta con la información estadística correspondiente según su tipo de dato:</w:t>
      </w:r>
    </w:p>
    <w:p>
      <w:pPr>
        <w:pStyle w:val="ListBullet"/>
        <w:spacing w:after="60"/>
      </w:pPr>
      <w:r>
        <w:rPr>
          <w:sz w:val="21"/>
        </w:rPr>
        <w:t>Columnas numéricas (int / float): media, mediana, desviación estándar, mínimo, máximo, Q1, Q3, histograma SVG y boxplot SVG.</w:t>
      </w:r>
    </w:p>
    <w:p>
      <w:pPr>
        <w:pStyle w:val="ListBullet"/>
        <w:spacing w:after="60"/>
      </w:pPr>
      <w:r>
        <w:rPr>
          <w:sz w:val="21"/>
        </w:rPr>
        <w:t>Columnas categóricas / string: moda, frecuencia de la moda, lista de categorías con conteo.</w:t>
      </w:r>
    </w:p>
    <w:p>
      <w:pPr>
        <w:pStyle w:val="ListBullet"/>
        <w:spacing w:after="60"/>
      </w:pPr>
      <w:r>
        <w:rPr>
          <w:sz w:val="21"/>
        </w:rPr>
        <w:t>Todas las columnas: total de filas, cantidad de nulos, porcentaje de completitud y número de valores únicos.</w:t>
      </w:r>
    </w:p>
    <w:p>
      <w:pPr>
        <w:pStyle w:val="Heading2"/>
        <w:spacing w:before="240" w:after="80"/>
      </w:pPr>
      <w:r>
        <w:rPr>
          <w:color w:val="0EA5E9"/>
          <w:sz w:val="26"/>
        </w:rPr>
        <w:t>Tipos de dato detectados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c4a6e"/>
          </w:tcPr>
          <w:p>
            <w:r>
              <w:rPr>
                <w:b/>
                <w:color w:val="FFFFFF"/>
                <w:sz w:val="20"/>
              </w:rPr>
              <w:t>Tipo</w:t>
            </w:r>
          </w:p>
        </w:tc>
        <w:tc>
          <w:tcPr>
            <w:tcW w:type="dxa" w:w="4680"/>
            <w:shd w:val="clear" w:color="auto" w:fill="0c4a6e"/>
          </w:tcPr>
          <w:p>
            <w:r>
              <w:rPr>
                <w:b/>
                <w:color w:val="FFFFFF"/>
                <w:sz w:val="20"/>
              </w:rPr>
              <w:t>Criterio de detección</w:t>
            </w:r>
          </w:p>
        </w:tc>
      </w:tr>
      <w:tr>
        <w:tc>
          <w:tcPr>
            <w:tcW w:type="dxa" w:w="4680"/>
          </w:tcPr>
          <w:p>
            <w:r>
              <w:rPr>
                <w:sz w:val="20"/>
              </w:rPr>
              <w:t>float</w:t>
            </w:r>
          </w:p>
        </w:tc>
        <w:tc>
          <w:tcPr>
            <w:tcW w:type="dxa" w:w="4680"/>
          </w:tcPr>
          <w:p>
            <w:r>
              <w:rPr>
                <w:sz w:val="20"/>
              </w:rPr>
              <w:t>Columna con dtype float64/float32 de pandas.</w:t>
            </w:r>
          </w:p>
        </w:tc>
      </w:tr>
      <w:tr>
        <w:tc>
          <w:tcPr>
            <w:tcW w:type="dxa" w:w="4680"/>
          </w:tcPr>
          <w:p>
            <w:r>
              <w:rPr>
                <w:sz w:val="20"/>
              </w:rPr>
              <w:t>int</w:t>
            </w:r>
          </w:p>
        </w:tc>
        <w:tc>
          <w:tcPr>
            <w:tcW w:type="dxa" w:w="4680"/>
          </w:tcPr>
          <w:p>
            <w:r>
              <w:rPr>
                <w:sz w:val="20"/>
              </w:rPr>
              <w:t>Columna con dtype int64/int32 de pandas.</w:t>
            </w:r>
          </w:p>
        </w:tc>
      </w:tr>
      <w:tr>
        <w:tc>
          <w:tcPr>
            <w:tcW w:type="dxa" w:w="4680"/>
          </w:tcPr>
          <w:p>
            <w:r>
              <w:rPr>
                <w:sz w:val="20"/>
              </w:rPr>
              <w:t>categorical</w:t>
            </w:r>
          </w:p>
        </w:tc>
        <w:tc>
          <w:tcPr>
            <w:tcW w:type="dxa" w:w="4680"/>
          </w:tcPr>
          <w:p>
            <w:r>
              <w:rPr>
                <w:sz w:val="20"/>
              </w:rPr>
              <w:t>String con ≤ 20 valores únicos o ≤ 20% de unicidad.</w:t>
            </w:r>
          </w:p>
        </w:tc>
      </w:tr>
      <w:tr>
        <w:tc>
          <w:tcPr>
            <w:tcW w:type="dxa" w:w="4680"/>
          </w:tcPr>
          <w:p>
            <w:r>
              <w:rPr>
                <w:sz w:val="20"/>
              </w:rPr>
              <w:t>string</w:t>
            </w:r>
          </w:p>
        </w:tc>
        <w:tc>
          <w:tcPr>
            <w:tcW w:type="dxa" w:w="4680"/>
          </w:tcPr>
          <w:p>
            <w:r>
              <w:rPr>
                <w:sz w:val="20"/>
              </w:rPr>
              <w:t>Texto con alta diversidad de valores (más del 20% único).</w:t>
            </w:r>
          </w:p>
        </w:tc>
      </w:tr>
    </w:tbl>
    <w:p>
      <w:pPr>
        <w:spacing w:after="120"/>
      </w:pPr>
    </w:p>
    <w:p>
      <w:pPr>
        <w:pStyle w:val="Heading2"/>
        <w:spacing w:before="240" w:after="80"/>
      </w:pPr>
      <w:r>
        <w:rPr>
          <w:color w:val="0EA5E9"/>
          <w:sz w:val="26"/>
        </w:rPr>
        <w:t>Mapa de calor (Heatmap)</w:t>
      </w:r>
    </w:p>
    <w:p>
      <w:pPr>
        <w:spacing w:after="120"/>
      </w:pPr>
      <w:r>
        <w:rPr>
          <w:sz w:val="22"/>
        </w:rPr>
        <w:t>Al desplazarse hacia abajo se encuentra el heatmap de nulos: una cuadrícula donde cada celda corresponde a una fila del dataset. Las celdas en color rojo indican un valor faltante (NaN) y las celdas en cyan indican un valor presente. Esto permite identificar visualmente los patrones de datos faltantes (si son aleatorios o sistemáticos).</w:t>
      </w:r>
    </w:p>
    <w:p>
      <w:pPr>
        <w:spacing w:after="120"/>
      </w:pPr>
      <w:r>
        <w:rPr>
          <w:sz w:val="22"/>
        </w:rPr>
        <w:t>Una vez revisado el análisis, haz clic en el botón «Imputar →» o en el paso «03 Imputar» del stepper para avanzar al siguiente paso.</w:t>
      </w:r>
    </w:p>
    <w:p>
      <w:r>
        <w:br w:type="page"/>
      </w:r>
    </w:p>
    <w:tbl>
      <w:tblPr>
        <w:tblW w:type="auto" w:w="0"/>
        <w:jc w:val="left"/>
        <w:tblLook w:firstColumn="1" w:firstRow="1" w:lastColumn="0" w:lastRow="0" w:noHBand="0" w:noVBand="1" w:val="04A0"/>
      </w:tblPr>
      <w:tblGrid>
        <w:gridCol w:w="4680"/>
        <w:gridCol w:w="4680"/>
      </w:tblGrid>
      <w:tr>
        <w:tc>
          <w:tcPr>
            <w:tcW w:type="dxa" w:w="850"/>
            <w:shd w:val="clear" w:color="auto" w:fill="0ea5e9"/>
          </w:tcPr>
          <w:p>
            <w:pPr>
              <w:jc w:val="center"/>
            </w:pPr>
            <w:r>
              <w:rPr>
                <w:b/>
                <w:color w:val="FFFFFF"/>
                <w:sz w:val="32"/>
              </w:rPr>
              <w:t>03</w:t>
            </w:r>
          </w:p>
        </w:tc>
        <w:tc>
          <w:tcPr>
            <w:tcW w:type="dxa" w:w="8220"/>
            <w:shd w:val="clear" w:color="auto" w:fill="f0f9ff"/>
          </w:tcPr>
          <w:p>
            <w:pPr>
              <w:jc w:val="left"/>
            </w:pPr>
            <w:r>
              <w:rPr>
                <w:b/>
                <w:color w:val="0C4A6E"/>
                <w:sz w:val="24"/>
              </w:rPr>
              <w:t xml:space="preserve">  PASO 3 · IMPUTACIÓN DE VALORES FALTANTES</w:t>
            </w:r>
          </w:p>
        </w:tc>
      </w:tr>
    </w:tbl>
    <w:p>
      <w:pPr>
        <w:spacing w:after="80"/>
      </w:pPr>
    </w:p>
    <w:p>
      <w:pPr>
        <w:spacing w:after="120"/>
      </w:pPr>
      <w:r>
        <w:rPr>
          <w:sz w:val="22"/>
        </w:rPr>
        <w:t>El paso de imputación permite seleccionar una columna con valores faltantes y aplicar una de las 8 técnicas disponibles. La pantalla se divide en tres paneles: selector de columna (izquierda), tarjeta de fórmula (centro) y panel de aplicación (derecha).</w:t>
      </w:r>
    </w:p>
    <w:p>
      <w:pPr>
        <w:spacing w:before="120" w:after="40"/>
        <w:jc w:val="center"/>
      </w:pPr>
      <w:r>
        <w:drawing>
          <wp:inline xmlns:a="http://schemas.openxmlformats.org/drawingml/2006/main" xmlns:pic="http://schemas.openxmlformats.org/drawingml/2006/picture">
            <wp:extent cx="5577840" cy="286082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860822"/>
                    </a:xfrm>
                    <a:prstGeom prst="rect"/>
                  </pic:spPr>
                </pic:pic>
              </a:graphicData>
            </a:graphic>
          </wp:inline>
        </w:drawing>
      </w:r>
    </w:p>
    <w:p>
      <w:pPr>
        <w:spacing w:after="200"/>
        <w:jc w:val="center"/>
      </w:pPr>
      <w:r>
        <w:rPr>
          <w:i/>
          <w:color w:val="64748B"/>
          <w:sz w:val="18"/>
        </w:rPr>
        <w:t>Figura: Pantalla de selección de técnica de imputación — Paso 03/04</w:t>
      </w:r>
    </w:p>
    <w:p>
      <w:pPr>
        <w:pStyle w:val="Heading2"/>
        <w:spacing w:before="240" w:after="80"/>
      </w:pPr>
      <w:r>
        <w:rPr>
          <w:color w:val="0EA5E9"/>
          <w:sz w:val="26"/>
        </w:rPr>
        <w:t>Panel izquierdo — Selección de columna y técnica</w:t>
      </w:r>
    </w:p>
    <w:p>
      <w:pPr>
        <w:spacing w:after="120"/>
      </w:pPr>
      <w:r>
        <w:rPr>
          <w:sz w:val="22"/>
        </w:rPr>
        <w:t>El panel izquierdo muestra dos listas:</w:t>
      </w:r>
    </w:p>
    <w:p>
      <w:pPr>
        <w:pStyle w:val="ListBullet"/>
        <w:spacing w:after="60"/>
      </w:pPr>
      <w:r>
        <w:rPr>
          <w:sz w:val="21"/>
        </w:rPr>
        <w:t>Lista de columnas: solo se muestran las columnas que tienen al menos un valor nulo. Las columnas sin nulos aparecen desactivadas.</w:t>
      </w:r>
    </w:p>
    <w:p>
      <w:pPr>
        <w:pStyle w:val="ListBullet"/>
        <w:spacing w:after="60"/>
      </w:pPr>
      <w:r>
        <w:rPr>
          <w:sz w:val="21"/>
        </w:rPr>
        <w:t>Lista de técnicas: se filtran automáticamente según el tipo de dato de la columna seleccionada. Las técnicas incompatibles aparecen desactivadas.</w:t>
      </w:r>
    </w:p>
    <w:p>
      <w:pPr>
        <w:pStyle w:val="Heading2"/>
        <w:spacing w:before="240" w:after="80"/>
      </w:pPr>
      <w:r>
        <w:rPr>
          <w:color w:val="0EA5E9"/>
          <w:sz w:val="26"/>
        </w:rPr>
        <w:t>Panel central — Tarjeta de fórmula</w:t>
      </w:r>
    </w:p>
    <w:p>
      <w:pPr>
        <w:spacing w:after="120"/>
      </w:pPr>
      <w:r>
        <w:rPr>
          <w:sz w:val="22"/>
        </w:rPr>
        <w:t>Al seleccionar una técnica, el panel central muestra:</w:t>
      </w:r>
    </w:p>
    <w:p>
      <w:pPr>
        <w:pStyle w:val="ListBullet"/>
        <w:spacing w:after="60"/>
      </w:pPr>
      <w:r>
        <w:rPr>
          <w:sz w:val="21"/>
        </w:rPr>
        <w:t>Nombre y número de la técnica (ej. TÉCNICA · 07 / 08).</w:t>
      </w:r>
    </w:p>
    <w:p>
      <w:pPr>
        <w:pStyle w:val="ListBullet"/>
        <w:spacing w:after="60"/>
      </w:pPr>
      <w:r>
        <w:rPr>
          <w:sz w:val="21"/>
        </w:rPr>
        <w:t>Descripción de la técnica.</w:t>
      </w:r>
    </w:p>
    <w:p>
      <w:pPr>
        <w:pStyle w:val="ListBullet"/>
        <w:spacing w:after="60"/>
      </w:pPr>
      <w:r>
        <w:rPr>
          <w:sz w:val="21"/>
        </w:rPr>
        <w:t>Modelo matemático renderizado con KaTeX.</w:t>
      </w:r>
    </w:p>
    <w:p>
      <w:pPr>
        <w:pStyle w:val="ListBullet"/>
        <w:spacing w:after="60"/>
      </w:pPr>
      <w:r>
        <w:rPr>
          <w:sz w:val="21"/>
        </w:rPr>
        <w:t>Diagrama SVG del modelo (solo para Árbol de Decisión y Red Neuronal MLP).</w:t>
      </w:r>
    </w:p>
    <w:p>
      <w:pPr>
        <w:pStyle w:val="ListBullet"/>
        <w:spacing w:after="60"/>
      </w:pPr>
      <w:r>
        <w:rPr>
          <w:sz w:val="21"/>
        </w:rPr>
        <w:t>Ejemplo calculado con los valores reales del dataset (media, Q1, Q3, histograma).</w:t>
      </w:r>
    </w:p>
    <w:p>
      <w:pPr>
        <w:pStyle w:val="ListBullet"/>
        <w:spacing w:after="60"/>
      </w:pPr>
      <w:r>
        <w:rPr>
          <w:sz w:val="21"/>
        </w:rPr>
        <w:t>Tabla de variables y cuándo usar la técnica.</w:t>
      </w:r>
    </w:p>
    <w:p>
      <w:pPr>
        <w:pStyle w:val="ListBullet"/>
        <w:spacing w:after="60"/>
      </w:pPr>
      <w:r>
        <w:rPr>
          <w:sz w:val="21"/>
        </w:rPr>
        <w:t>Riesgo asociado al método.</w:t>
      </w:r>
    </w:p>
    <w:p>
      <w:pPr>
        <w:pStyle w:val="Heading2"/>
        <w:spacing w:before="240" w:after="80"/>
      </w:pPr>
      <w:r>
        <w:rPr>
          <w:color w:val="0EA5E9"/>
          <w:sz w:val="26"/>
        </w:rPr>
        <w:t>6.1  Técnicas Estadísticas</w:t>
      </w:r>
    </w:p>
    <w:p>
      <w:pPr>
        <w:spacing w:before="120" w:after="40"/>
        <w:jc w:val="center"/>
      </w:pPr>
      <w:r>
        <w:drawing>
          <wp:inline xmlns:a="http://schemas.openxmlformats.org/drawingml/2006/main" xmlns:pic="http://schemas.openxmlformats.org/drawingml/2006/picture">
            <wp:extent cx="5577840" cy="2860822"/>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860822"/>
                    </a:xfrm>
                    <a:prstGeom prst="rect"/>
                  </pic:spPr>
                </pic:pic>
              </a:graphicData>
            </a:graphic>
          </wp:inline>
        </w:drawing>
      </w:r>
    </w:p>
    <w:p>
      <w:pPr>
        <w:spacing w:after="200"/>
        <w:jc w:val="center"/>
      </w:pPr>
      <w:r>
        <w:rPr>
          <w:i/>
          <w:color w:val="64748B"/>
          <w:sz w:val="18"/>
        </w:rPr>
        <w:t>Figura: Tarjeta de fórmula con técnica Media seleccionada</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c4a6e"/>
          </w:tcPr>
          <w:p>
            <w:r>
              <w:rPr>
                <w:b/>
                <w:color w:val="FFFFFF"/>
                <w:sz w:val="19"/>
              </w:rPr>
              <w:t>#</w:t>
            </w:r>
          </w:p>
        </w:tc>
        <w:tc>
          <w:tcPr>
            <w:tcW w:type="dxa" w:w="2340"/>
            <w:shd w:val="clear" w:color="auto" w:fill="0c4a6e"/>
          </w:tcPr>
          <w:p>
            <w:r>
              <w:rPr>
                <w:b/>
                <w:color w:val="FFFFFF"/>
                <w:sz w:val="19"/>
              </w:rPr>
              <w:t>Técnica</w:t>
            </w:r>
          </w:p>
        </w:tc>
        <w:tc>
          <w:tcPr>
            <w:tcW w:type="dxa" w:w="2340"/>
            <w:shd w:val="clear" w:color="auto" w:fill="0c4a6e"/>
          </w:tcPr>
          <w:p>
            <w:r>
              <w:rPr>
                <w:b/>
                <w:color w:val="FFFFFF"/>
                <w:sz w:val="19"/>
              </w:rPr>
              <w:t>Aplica a</w:t>
            </w:r>
          </w:p>
        </w:tc>
        <w:tc>
          <w:tcPr>
            <w:tcW w:type="dxa" w:w="2340"/>
            <w:shd w:val="clear" w:color="auto" w:fill="0c4a6e"/>
          </w:tcPr>
          <w:p>
            <w:r>
              <w:rPr>
                <w:b/>
                <w:color w:val="FFFFFF"/>
                <w:sz w:val="19"/>
              </w:rPr>
              <w:t>Cuándo usar</w:t>
            </w:r>
          </w:p>
        </w:tc>
      </w:tr>
      <w:tr>
        <w:tc>
          <w:tcPr>
            <w:tcW w:type="dxa" w:w="2340"/>
          </w:tcPr>
          <w:p>
            <w:r>
              <w:rPr>
                <w:sz w:val="19"/>
              </w:rPr>
              <w:t>01</w:t>
            </w:r>
          </w:p>
        </w:tc>
        <w:tc>
          <w:tcPr>
            <w:tcW w:type="dxa" w:w="2340"/>
          </w:tcPr>
          <w:p>
            <w:r>
              <w:rPr>
                <w:sz w:val="19"/>
              </w:rPr>
              <w:t>Media</w:t>
            </w:r>
          </w:p>
        </w:tc>
        <w:tc>
          <w:tcPr>
            <w:tcW w:type="dxa" w:w="2340"/>
          </w:tcPr>
          <w:p>
            <w:r>
              <w:rPr>
                <w:sz w:val="19"/>
              </w:rPr>
              <w:t>Numérico</w:t>
            </w:r>
          </w:p>
        </w:tc>
        <w:tc>
          <w:tcPr>
            <w:tcW w:type="dxa" w:w="2340"/>
          </w:tcPr>
          <w:p>
            <w:r>
              <w:rPr>
                <w:sz w:val="19"/>
              </w:rPr>
              <w:t>Distribución simétrica sin outliers.</w:t>
            </w:r>
          </w:p>
        </w:tc>
      </w:tr>
      <w:tr>
        <w:tc>
          <w:tcPr>
            <w:tcW w:type="dxa" w:w="2340"/>
          </w:tcPr>
          <w:p>
            <w:r>
              <w:rPr>
                <w:sz w:val="19"/>
              </w:rPr>
              <w:t>02</w:t>
            </w:r>
          </w:p>
        </w:tc>
        <w:tc>
          <w:tcPr>
            <w:tcW w:type="dxa" w:w="2340"/>
          </w:tcPr>
          <w:p>
            <w:r>
              <w:rPr>
                <w:sz w:val="19"/>
              </w:rPr>
              <w:t>Mediana</w:t>
            </w:r>
          </w:p>
        </w:tc>
        <w:tc>
          <w:tcPr>
            <w:tcW w:type="dxa" w:w="2340"/>
          </w:tcPr>
          <w:p>
            <w:r>
              <w:rPr>
                <w:sz w:val="19"/>
              </w:rPr>
              <w:t>Numérico</w:t>
            </w:r>
          </w:p>
        </w:tc>
        <w:tc>
          <w:tcPr>
            <w:tcW w:type="dxa" w:w="2340"/>
          </w:tcPr>
          <w:p>
            <w:r>
              <w:rPr>
                <w:sz w:val="19"/>
              </w:rPr>
              <w:t>Distribuciones sesgadas o con outliers.</w:t>
            </w:r>
          </w:p>
        </w:tc>
      </w:tr>
      <w:tr>
        <w:tc>
          <w:tcPr>
            <w:tcW w:type="dxa" w:w="2340"/>
          </w:tcPr>
          <w:p>
            <w:r>
              <w:rPr>
                <w:sz w:val="19"/>
              </w:rPr>
              <w:t>03</w:t>
            </w:r>
          </w:p>
        </w:tc>
        <w:tc>
          <w:tcPr>
            <w:tcW w:type="dxa" w:w="2340"/>
          </w:tcPr>
          <w:p>
            <w:r>
              <w:rPr>
                <w:sz w:val="19"/>
              </w:rPr>
              <w:t>Moda</w:t>
            </w:r>
          </w:p>
        </w:tc>
        <w:tc>
          <w:tcPr>
            <w:tcW w:type="dxa" w:w="2340"/>
          </w:tcPr>
          <w:p>
            <w:r>
              <w:rPr>
                <w:sz w:val="19"/>
              </w:rPr>
              <w:t>Numérico / Categ.</w:t>
            </w:r>
          </w:p>
        </w:tc>
        <w:tc>
          <w:tcPr>
            <w:tcW w:type="dxa" w:w="2340"/>
          </w:tcPr>
          <w:p>
            <w:r>
              <w:rPr>
                <w:sz w:val="19"/>
              </w:rPr>
              <w:t>Variables categóricas o discretas.</w:t>
            </w:r>
          </w:p>
        </w:tc>
      </w:tr>
      <w:tr>
        <w:tc>
          <w:tcPr>
            <w:tcW w:type="dxa" w:w="2340"/>
          </w:tcPr>
          <w:p>
            <w:r>
              <w:rPr>
                <w:sz w:val="19"/>
              </w:rPr>
              <w:t>04</w:t>
            </w:r>
          </w:p>
        </w:tc>
        <w:tc>
          <w:tcPr>
            <w:tcW w:type="dxa" w:w="2340"/>
          </w:tcPr>
          <w:p>
            <w:r>
              <w:rPr>
                <w:sz w:val="19"/>
              </w:rPr>
              <w:t>Interpolación Lineal</w:t>
            </w:r>
          </w:p>
        </w:tc>
        <w:tc>
          <w:tcPr>
            <w:tcW w:type="dxa" w:w="2340"/>
          </w:tcPr>
          <w:p>
            <w:r>
              <w:rPr>
                <w:sz w:val="19"/>
              </w:rPr>
              <w:t>Numérico</w:t>
            </w:r>
          </w:p>
        </w:tc>
        <w:tc>
          <w:tcPr>
            <w:tcW w:type="dxa" w:w="2340"/>
          </w:tcPr>
          <w:p>
            <w:r>
              <w:rPr>
                <w:sz w:val="19"/>
              </w:rPr>
              <w:t>Series ordenadas con dependencia secuencial.</w:t>
            </w:r>
          </w:p>
        </w:tc>
      </w:tr>
      <w:tr>
        <w:tc>
          <w:tcPr>
            <w:tcW w:type="dxa" w:w="2340"/>
          </w:tcPr>
          <w:p>
            <w:r>
              <w:rPr>
                <w:sz w:val="19"/>
              </w:rPr>
              <w:t>05</w:t>
            </w:r>
          </w:p>
        </w:tc>
        <w:tc>
          <w:tcPr>
            <w:tcW w:type="dxa" w:w="2340"/>
          </w:tcPr>
          <w:p>
            <w:r>
              <w:rPr>
                <w:sz w:val="19"/>
              </w:rPr>
              <w:t>KNN Imputación</w:t>
            </w:r>
          </w:p>
        </w:tc>
        <w:tc>
          <w:tcPr>
            <w:tcW w:type="dxa" w:w="2340"/>
          </w:tcPr>
          <w:p>
            <w:r>
              <w:rPr>
                <w:sz w:val="19"/>
              </w:rPr>
              <w:t>Numérico</w:t>
            </w:r>
          </w:p>
        </w:tc>
        <w:tc>
          <w:tcPr>
            <w:tcW w:type="dxa" w:w="2340"/>
          </w:tcPr>
          <w:p>
            <w:r>
              <w:rPr>
                <w:sz w:val="19"/>
              </w:rPr>
              <w:t>Múltiples variables correlacionadas.</w:t>
            </w:r>
          </w:p>
        </w:tc>
      </w:tr>
    </w:tbl>
    <w:p>
      <w:pPr>
        <w:spacing w:after="120"/>
      </w:pPr>
    </w:p>
    <w:p>
      <w:pPr>
        <w:pStyle w:val="Heading2"/>
        <w:spacing w:before="240" w:after="80"/>
      </w:pPr>
      <w:r>
        <w:rPr>
          <w:color w:val="0EA5E9"/>
          <w:sz w:val="26"/>
        </w:rPr>
        <w:t>6.2  Técnicas de Machine Learning</w:t>
      </w:r>
    </w:p>
    <w:p>
      <w:pPr>
        <w:spacing w:after="120"/>
      </w:pPr>
      <w:r>
        <w:rPr>
          <w:sz w:val="22"/>
        </w:rPr>
        <w:t>Las tres técnicas de Machine Learning utilizan el esquema MICE (Multiple Imputation by Chained Equations) con el estimador correspondiente, iterando sobre las columnas numéricas del dataset para predecir cada valor faltante.</w:t>
      </w:r>
    </w:p>
    <w:p>
      <w:pPr>
        <w:spacing w:before="120" w:after="40"/>
        <w:jc w:val="center"/>
      </w:pPr>
      <w:r>
        <w:drawing>
          <wp:inline xmlns:a="http://schemas.openxmlformats.org/drawingml/2006/main" xmlns:pic="http://schemas.openxmlformats.org/drawingml/2006/picture">
            <wp:extent cx="5577840" cy="2860822"/>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2860822"/>
                    </a:xfrm>
                    <a:prstGeom prst="rect"/>
                  </pic:spPr>
                </pic:pic>
              </a:graphicData>
            </a:graphic>
          </wp:inline>
        </w:drawing>
      </w:r>
    </w:p>
    <w:p>
      <w:pPr>
        <w:spacing w:after="200"/>
        <w:jc w:val="center"/>
      </w:pPr>
      <w:r>
        <w:rPr>
          <w:i/>
          <w:color w:val="64748B"/>
          <w:sz w:val="18"/>
        </w:rPr>
        <w:t>Figura: Árbol de Decisión — diagrama SVG y fórmula KaTeX</w:t>
      </w:r>
    </w:p>
    <w:p>
      <w:pPr>
        <w:spacing w:before="120" w:after="40"/>
        <w:jc w:val="center"/>
      </w:pPr>
      <w:r>
        <w:drawing>
          <wp:inline xmlns:a="http://schemas.openxmlformats.org/drawingml/2006/main" xmlns:pic="http://schemas.openxmlformats.org/drawingml/2006/picture">
            <wp:extent cx="5577840" cy="2860822"/>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860822"/>
                    </a:xfrm>
                    <a:prstGeom prst="rect"/>
                  </pic:spPr>
                </pic:pic>
              </a:graphicData>
            </a:graphic>
          </wp:inline>
        </w:drawing>
      </w:r>
    </w:p>
    <w:p>
      <w:pPr>
        <w:spacing w:after="200"/>
        <w:jc w:val="center"/>
      </w:pPr>
      <w:r>
        <w:rPr>
          <w:i/>
          <w:color w:val="64748B"/>
          <w:sz w:val="18"/>
        </w:rPr>
        <w:t>Figura: Red Neuronal MLP — diagrama SVG y fórmula KaTeX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7c3aed"/>
          </w:tcPr>
          <w:p>
            <w:r>
              <w:rPr>
                <w:b/>
                <w:color w:val="FFFFFF"/>
                <w:sz w:val="19"/>
              </w:rPr>
              <w:t>#</w:t>
            </w:r>
          </w:p>
        </w:tc>
        <w:tc>
          <w:tcPr>
            <w:tcW w:type="dxa" w:w="2340"/>
            <w:shd w:val="clear" w:color="auto" w:fill="7c3aed"/>
          </w:tcPr>
          <w:p>
            <w:r>
              <w:rPr>
                <w:b/>
                <w:color w:val="FFFFFF"/>
                <w:sz w:val="19"/>
              </w:rPr>
              <w:t>Técnica</w:t>
            </w:r>
          </w:p>
        </w:tc>
        <w:tc>
          <w:tcPr>
            <w:tcW w:type="dxa" w:w="2340"/>
            <w:shd w:val="clear" w:color="auto" w:fill="7c3aed"/>
          </w:tcPr>
          <w:p>
            <w:r>
              <w:rPr>
                <w:b/>
                <w:color w:val="FFFFFF"/>
                <w:sz w:val="19"/>
              </w:rPr>
              <w:t>Parámetros backend</w:t>
            </w:r>
          </w:p>
        </w:tc>
        <w:tc>
          <w:tcPr>
            <w:tcW w:type="dxa" w:w="2340"/>
            <w:shd w:val="clear" w:color="auto" w:fill="7c3aed"/>
          </w:tcPr>
          <w:p>
            <w:r>
              <w:rPr>
                <w:b/>
                <w:color w:val="FFFFFF"/>
                <w:sz w:val="19"/>
              </w:rPr>
              <w:t>Cuándo usar</w:t>
            </w:r>
          </w:p>
        </w:tc>
      </w:tr>
      <w:tr>
        <w:tc>
          <w:tcPr>
            <w:tcW w:type="dxa" w:w="2340"/>
          </w:tcPr>
          <w:p>
            <w:r>
              <w:rPr>
                <w:sz w:val="19"/>
              </w:rPr>
              <w:t>06</w:t>
            </w:r>
          </w:p>
        </w:tc>
        <w:tc>
          <w:tcPr>
            <w:tcW w:type="dxa" w:w="2340"/>
          </w:tcPr>
          <w:p>
            <w:r>
              <w:rPr>
                <w:sz w:val="19"/>
              </w:rPr>
              <w:t>Regresión Lineal</w:t>
            </w:r>
          </w:p>
        </w:tc>
        <w:tc>
          <w:tcPr>
            <w:tcW w:type="dxa" w:w="2340"/>
          </w:tcPr>
          <w:p>
            <w:r>
              <w:rPr>
                <w:sz w:val="19"/>
              </w:rPr>
              <w:t>IterativeImputer + LinearRegression</w:t>
            </w:r>
          </w:p>
        </w:tc>
        <w:tc>
          <w:tcPr>
            <w:tcW w:type="dxa" w:w="2340"/>
          </w:tcPr>
          <w:p>
            <w:r>
              <w:rPr>
                <w:sz w:val="19"/>
              </w:rPr>
              <w:t>Relación lineal entre columnas.</w:t>
            </w:r>
          </w:p>
        </w:tc>
      </w:tr>
      <w:tr>
        <w:tc>
          <w:tcPr>
            <w:tcW w:type="dxa" w:w="2340"/>
          </w:tcPr>
          <w:p>
            <w:r>
              <w:rPr>
                <w:sz w:val="19"/>
              </w:rPr>
              <w:t>07</w:t>
            </w:r>
          </w:p>
        </w:tc>
        <w:tc>
          <w:tcPr>
            <w:tcW w:type="dxa" w:w="2340"/>
          </w:tcPr>
          <w:p>
            <w:r>
              <w:rPr>
                <w:sz w:val="19"/>
              </w:rPr>
              <w:t>Árbol de Decisión</w:t>
            </w:r>
          </w:p>
        </w:tc>
        <w:tc>
          <w:tcPr>
            <w:tcW w:type="dxa" w:w="2340"/>
          </w:tcPr>
          <w:p>
            <w:r>
              <w:rPr>
                <w:sz w:val="19"/>
              </w:rPr>
              <w:t>IterativeImputer + DecisionTreeRegressor(5)</w:t>
            </w:r>
          </w:p>
        </w:tc>
        <w:tc>
          <w:tcPr>
            <w:tcW w:type="dxa" w:w="2340"/>
          </w:tcPr>
          <w:p>
            <w:r>
              <w:rPr>
                <w:sz w:val="19"/>
              </w:rPr>
              <w:t>Relaciones no lineales, outliers.</w:t>
            </w:r>
          </w:p>
        </w:tc>
      </w:tr>
      <w:tr>
        <w:tc>
          <w:tcPr>
            <w:tcW w:type="dxa" w:w="2340"/>
          </w:tcPr>
          <w:p>
            <w:r>
              <w:rPr>
                <w:sz w:val="19"/>
              </w:rPr>
              <w:t>08</w:t>
            </w:r>
          </w:p>
        </w:tc>
        <w:tc>
          <w:tcPr>
            <w:tcW w:type="dxa" w:w="2340"/>
          </w:tcPr>
          <w:p>
            <w:r>
              <w:rPr>
                <w:sz w:val="19"/>
              </w:rPr>
              <w:t>Red Neuronal (MLP)</w:t>
            </w:r>
          </w:p>
        </w:tc>
        <w:tc>
          <w:tcPr>
            <w:tcW w:type="dxa" w:w="2340"/>
          </w:tcPr>
          <w:p>
            <w:r>
              <w:rPr>
                <w:sz w:val="19"/>
              </w:rPr>
              <w:t>IterativeImputer + MLPRegressor(64,32)</w:t>
            </w:r>
          </w:p>
        </w:tc>
        <w:tc>
          <w:tcPr>
            <w:tcW w:type="dxa" w:w="2340"/>
          </w:tcPr>
          <w:p>
            <w:r>
              <w:rPr>
                <w:sz w:val="19"/>
              </w:rPr>
              <w:t>Patrones complejos en datos grandes.</w:t>
            </w:r>
          </w:p>
        </w:tc>
      </w:tr>
    </w:tbl>
    <w:p>
      <w:pPr>
        <w:spacing w:after="120"/>
      </w:pPr>
    </w:p>
    <w:p>
      <w:pPr>
        <w:spacing w:after="120"/>
      </w:pPr>
      <w:r>
        <w:rPr>
          <w:sz w:val="22"/>
        </w:rPr>
        <w:t>⚠  Nota: La Red Neuronal MLP es la técnica más costosa computacionalmente. En datasets grandes puede tardar varios segundos.</w:t>
      </w:r>
    </w:p>
    <w:p>
      <w:pPr>
        <w:pStyle w:val="Heading2"/>
        <w:spacing w:before="240" w:after="80"/>
      </w:pPr>
      <w:r>
        <w:rPr>
          <w:color w:val="0EA5E9"/>
          <w:sz w:val="26"/>
        </w:rPr>
        <w:t>6.3  Aplicar la imputación</w:t>
      </w:r>
    </w:p>
    <w:p>
      <w:pPr>
        <w:spacing w:after="120"/>
      </w:pPr>
      <w:r>
        <w:rPr>
          <w:sz w:val="22"/>
        </w:rPr>
        <w:t>Para ejecutar la imputación sobre la columna seleccionada:</w:t>
      </w:r>
    </w:p>
    <w:p>
      <w:pPr>
        <w:pStyle w:val="ListBullet"/>
        <w:spacing w:after="60"/>
      </w:pPr>
      <w:r>
        <w:rPr>
          <w:sz w:val="21"/>
        </w:rPr>
        <w:t>1.  Seleccionar la columna con nulos en el panel izquierdo.</w:t>
      </w:r>
    </w:p>
    <w:p>
      <w:pPr>
        <w:pStyle w:val="ListBullet"/>
        <w:spacing w:after="60"/>
      </w:pPr>
      <w:r>
        <w:rPr>
          <w:sz w:val="21"/>
        </w:rPr>
        <w:t>2.  Seleccionar la técnica deseada en la lista (solo aparecen las compatibles con el tipo de dato).</w:t>
      </w:r>
    </w:p>
    <w:p>
      <w:pPr>
        <w:pStyle w:val="ListBullet"/>
        <w:spacing w:after="60"/>
      </w:pPr>
      <w:r>
        <w:rPr>
          <w:sz w:val="21"/>
        </w:rPr>
        <w:t>3.  Si la técnica tiene parámetros (KNN: número de vecinos K), ajustar el valor.</w:t>
      </w:r>
    </w:p>
    <w:p>
      <w:pPr>
        <w:pStyle w:val="ListBullet"/>
        <w:spacing w:after="60"/>
      </w:pPr>
      <w:r>
        <w:rPr>
          <w:sz w:val="21"/>
        </w:rPr>
        <w:t>4.  Hacer clic en «Aplicar imputación →» en el panel derecho.</w:t>
      </w:r>
    </w:p>
    <w:p>
      <w:pPr>
        <w:pStyle w:val="ListBullet"/>
        <w:spacing w:after="60"/>
      </w:pPr>
      <w:r>
        <w:rPr>
          <w:sz w:val="21"/>
        </w:rPr>
        <w:t>5.  Un mensaje de confirmación indica cuántos valores fueron imputados.</w:t>
      </w:r>
    </w:p>
    <w:p>
      <w:pPr>
        <w:pStyle w:val="ListBullet"/>
        <w:spacing w:after="60"/>
      </w:pPr>
      <w:r>
        <w:rPr>
          <w:sz w:val="21"/>
        </w:rPr>
        <w:t>6.  La aplicación avanza automáticamente al Paso 4 (Comparación y Exportación).</w:t>
      </w:r>
    </w:p>
    <w:p>
      <w:r>
        <w:br w:type="page"/>
      </w:r>
    </w:p>
    <w:tbl>
      <w:tblPr>
        <w:tblW w:type="auto" w:w="0"/>
        <w:jc w:val="left"/>
        <w:tblLook w:firstColumn="1" w:firstRow="1" w:lastColumn="0" w:lastRow="0" w:noHBand="0" w:noVBand="1" w:val="04A0"/>
      </w:tblPr>
      <w:tblGrid>
        <w:gridCol w:w="4680"/>
        <w:gridCol w:w="4680"/>
      </w:tblGrid>
      <w:tr>
        <w:tc>
          <w:tcPr>
            <w:tcW w:type="dxa" w:w="850"/>
            <w:shd w:val="clear" w:color="auto" w:fill="0ea5e9"/>
          </w:tcPr>
          <w:p>
            <w:pPr>
              <w:jc w:val="center"/>
            </w:pPr>
            <w:r>
              <w:rPr>
                <w:b/>
                <w:color w:val="FFFFFF"/>
                <w:sz w:val="32"/>
              </w:rPr>
              <w:t>04</w:t>
            </w:r>
          </w:p>
        </w:tc>
        <w:tc>
          <w:tcPr>
            <w:tcW w:type="dxa" w:w="8220"/>
            <w:shd w:val="clear" w:color="auto" w:fill="f0f9ff"/>
          </w:tcPr>
          <w:p>
            <w:pPr>
              <w:jc w:val="left"/>
            </w:pPr>
            <w:r>
              <w:rPr>
                <w:b/>
                <w:color w:val="0C4A6E"/>
                <w:sz w:val="24"/>
              </w:rPr>
              <w:t xml:space="preserve">  PASO 4 · COMPARACIÓN Y EXPORTACIÓN</w:t>
            </w:r>
          </w:p>
        </w:tc>
      </w:tr>
    </w:tbl>
    <w:p>
      <w:pPr>
        <w:spacing w:after="80"/>
      </w:pPr>
    </w:p>
    <w:p>
      <w:pPr>
        <w:spacing w:after="120"/>
      </w:pPr>
      <w:r>
        <w:rPr>
          <w:sz w:val="22"/>
        </w:rPr>
        <w:t>El último paso muestra una comparación lado a lado de los datos originales versus los datos imputados, y ofrece la descarga del CSV limpio.</w:t>
      </w:r>
    </w:p>
    <w:p>
      <w:pPr>
        <w:spacing w:before="120" w:after="40"/>
        <w:jc w:val="center"/>
      </w:pPr>
      <w:r>
        <w:drawing>
          <wp:inline xmlns:a="http://schemas.openxmlformats.org/drawingml/2006/main" xmlns:pic="http://schemas.openxmlformats.org/drawingml/2006/picture">
            <wp:extent cx="5577840" cy="2860822"/>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2860822"/>
                    </a:xfrm>
                    <a:prstGeom prst="rect"/>
                  </pic:spPr>
                </pic:pic>
              </a:graphicData>
            </a:graphic>
          </wp:inline>
        </w:drawing>
      </w:r>
    </w:p>
    <w:p>
      <w:pPr>
        <w:spacing w:after="200"/>
        <w:jc w:val="center"/>
      </w:pPr>
      <w:r>
        <w:rPr>
          <w:i/>
          <w:color w:val="64748B"/>
          <w:sz w:val="18"/>
        </w:rPr>
        <w:t>Figura: Vista de comparación antes/después y descarga — Paso 04/04</w:t>
      </w:r>
    </w:p>
    <w:p>
      <w:pPr>
        <w:pStyle w:val="Heading2"/>
        <w:spacing w:before="240" w:after="80"/>
      </w:pPr>
      <w:r>
        <w:rPr>
          <w:color w:val="0EA5E9"/>
          <w:sz w:val="26"/>
        </w:rPr>
        <w:t>Tabla de comparación antes / después</w:t>
      </w:r>
    </w:p>
    <w:p>
      <w:pPr>
        <w:spacing w:after="120"/>
      </w:pPr>
      <w:r>
        <w:rPr>
          <w:sz w:val="22"/>
        </w:rPr>
        <w:t>La tabla muestra las primeras filas del dataset con dos columnas para cada variable imputada: el valor original (puede ser vacío si era NaN) y el valor nuevo. Las celdas donde se realizó la imputación aparecen resaltadas en color cyan para facilitar su identificación visual.</w:t>
      </w:r>
    </w:p>
    <w:p>
      <w:pPr>
        <w:pStyle w:val="Heading2"/>
        <w:spacing w:before="240" w:after="80"/>
      </w:pPr>
      <w:r>
        <w:rPr>
          <w:color w:val="0EA5E9"/>
          <w:sz w:val="26"/>
        </w:rPr>
        <w:t>Descarga del CSV limpio</w:t>
      </w:r>
    </w:p>
    <w:p>
      <w:pPr>
        <w:spacing w:after="120"/>
      </w:pPr>
      <w:r>
        <w:rPr>
          <w:sz w:val="22"/>
        </w:rPr>
        <w:t>El botón «Descargar CSV limpio» genera y descarga el archivo con el nombre en formato:</w:t>
      </w:r>
    </w:p>
    <w:p>
      <w:pPr>
        <w:ind w:left="576"/>
      </w:pPr>
      <w:r>
        <w:rPr>
          <w:rFonts w:ascii="Courier New" w:hAnsi="Courier New"/>
          <w:color w:val="0EA5E9"/>
          <w:sz w:val="20"/>
        </w:rPr>
        <w:t>&lt;dataset&gt;_&lt;columna&gt;_&lt;técnica&gt;_&lt;fecha&gt;.csv</w:t>
      </w:r>
    </w:p>
    <w:p>
      <w:pPr>
        <w:spacing w:after="80"/>
      </w:pPr>
    </w:p>
    <w:p>
      <w:pPr>
        <w:spacing w:after="120"/>
      </w:pPr>
      <w:r>
        <w:rPr>
          <w:sz w:val="22"/>
        </w:rPr>
        <w:t>Ejemplo: titanic_train_Age_mean_2025-05-27.csv</w:t>
      </w:r>
    </w:p>
    <w:p>
      <w:pPr>
        <w:pStyle w:val="Heading2"/>
        <w:spacing w:before="240" w:after="80"/>
      </w:pPr>
      <w:r>
        <w:rPr>
          <w:color w:val="0EA5E9"/>
          <w:sz w:val="26"/>
        </w:rPr>
        <w:t>Imputar otra columna</w:t>
      </w:r>
    </w:p>
    <w:p>
      <w:pPr>
        <w:spacing w:after="120"/>
      </w:pPr>
      <w:r>
        <w:rPr>
          <w:sz w:val="22"/>
        </w:rPr>
        <w:t>Para imputar una segunda columna sin perder los cambios anteriores, haz clic en el paso «03 Imputar» del stepper. La aplicación recarga el análisis con los nulos actualizados (ya sin la columna que se acaba de imputar). Repite el proceso cuantas veces sea necesario.</w:t>
      </w:r>
    </w:p>
    <w:p>
      <w:pPr>
        <w:pStyle w:val="Heading2"/>
        <w:spacing w:before="240" w:after="80"/>
      </w:pPr>
      <w:r>
        <w:rPr>
          <w:color w:val="0EA5E9"/>
          <w:sz w:val="26"/>
        </w:rPr>
        <w:t>Reiniciar sesión</w:t>
      </w:r>
    </w:p>
    <w:p>
      <w:pPr>
        <w:spacing w:after="120"/>
      </w:pPr>
      <w:r>
        <w:rPr>
          <w:sz w:val="22"/>
        </w:rPr>
        <w:t>El botón «+ Nueva sesión» en el topbar (ícono +) limpia todos los datos en memoria y regresa al Paso 1 para cargar un nuevo dataset.</w:t>
      </w:r>
    </w:p>
    <w:p>
      <w:r>
        <w:br w:type="page"/>
      </w:r>
    </w:p>
    <w:p>
      <w:pPr>
        <w:pStyle w:val="Heading1"/>
        <w:spacing w:before="320" w:after="120"/>
        <w:pBdr>
          <w:top w:val="single" w:sz="12" w:space="4" w:color="0ea5e9"/>
        </w:pBdr>
      </w:pPr>
      <w:r>
        <w:rPr>
          <w:color w:val="0C4A6E"/>
          <w:sz w:val="36"/>
        </w:rPr>
        <w:t>8. Referencia Rápida de Técnicas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ea5e9"/>
          </w:tcPr>
          <w:p>
            <w:r>
              <w:rPr>
                <w:b/>
                <w:color w:val="FFFFFF"/>
                <w:sz w:val="18"/>
              </w:rPr>
              <w:t>#</w:t>
            </w:r>
          </w:p>
        </w:tc>
        <w:tc>
          <w:tcPr>
            <w:tcW w:type="dxa" w:w="1872"/>
            <w:shd w:val="clear" w:color="auto" w:fill="0ea5e9"/>
          </w:tcPr>
          <w:p>
            <w:r>
              <w:rPr>
                <w:b/>
                <w:color w:val="FFFFFF"/>
                <w:sz w:val="18"/>
              </w:rPr>
              <w:t>Técnica</w:t>
            </w:r>
          </w:p>
        </w:tc>
        <w:tc>
          <w:tcPr>
            <w:tcW w:type="dxa" w:w="1872"/>
            <w:shd w:val="clear" w:color="auto" w:fill="0ea5e9"/>
          </w:tcPr>
          <w:p>
            <w:r>
              <w:rPr>
                <w:b/>
                <w:color w:val="FFFFFF"/>
                <w:sz w:val="18"/>
              </w:rPr>
              <w:t>Tipo de dato</w:t>
            </w:r>
          </w:p>
        </w:tc>
        <w:tc>
          <w:tcPr>
            <w:tcW w:type="dxa" w:w="1872"/>
            <w:shd w:val="clear" w:color="auto" w:fill="0ea5e9"/>
          </w:tcPr>
          <w:p>
            <w:r>
              <w:rPr>
                <w:b/>
                <w:color w:val="FFFFFF"/>
                <w:sz w:val="18"/>
              </w:rPr>
              <w:t>Librería</w:t>
            </w:r>
          </w:p>
        </w:tc>
        <w:tc>
          <w:tcPr>
            <w:tcW w:type="dxa" w:w="1872"/>
            <w:shd w:val="clear" w:color="auto" w:fill="0ea5e9"/>
          </w:tcPr>
          <w:p>
            <w:r>
              <w:rPr>
                <w:b/>
                <w:color w:val="FFFFFF"/>
                <w:sz w:val="18"/>
              </w:rPr>
              <w:t>Complejidad</w:t>
            </w:r>
          </w:p>
        </w:tc>
      </w:tr>
      <w:tr>
        <w:tc>
          <w:tcPr>
            <w:tcW w:type="dxa" w:w="1872"/>
          </w:tcPr>
          <w:p>
            <w:r>
              <w:rPr>
                <w:sz w:val="18"/>
              </w:rPr>
              <w:t>01</w:t>
            </w:r>
          </w:p>
        </w:tc>
        <w:tc>
          <w:tcPr>
            <w:tcW w:type="dxa" w:w="1872"/>
          </w:tcPr>
          <w:p>
            <w:r>
              <w:rPr>
                <w:sz w:val="18"/>
              </w:rPr>
              <w:t>Media</w:t>
            </w:r>
          </w:p>
        </w:tc>
        <w:tc>
          <w:tcPr>
            <w:tcW w:type="dxa" w:w="1872"/>
          </w:tcPr>
          <w:p>
            <w:r>
              <w:rPr>
                <w:sz w:val="18"/>
              </w:rPr>
              <w:t>int, float</w:t>
            </w:r>
          </w:p>
        </w:tc>
        <w:tc>
          <w:tcPr>
            <w:tcW w:type="dxa" w:w="1872"/>
          </w:tcPr>
          <w:p>
            <w:r>
              <w:rPr>
                <w:sz w:val="18"/>
              </w:rPr>
              <w:t>SimpleImputer(strategy='mean')</w:t>
            </w:r>
          </w:p>
        </w:tc>
        <w:tc>
          <w:tcPr>
            <w:tcW w:type="dxa" w:w="1872"/>
          </w:tcPr>
          <w:p>
            <w:r>
              <w:rPr>
                <w:sz w:val="18"/>
              </w:rPr>
              <w:t>O(n)</w:t>
            </w:r>
          </w:p>
        </w:tc>
      </w:tr>
      <w:tr>
        <w:tc>
          <w:tcPr>
            <w:tcW w:type="dxa" w:w="1872"/>
          </w:tcPr>
          <w:p>
            <w:r>
              <w:rPr>
                <w:sz w:val="18"/>
              </w:rPr>
              <w:t>02</w:t>
            </w:r>
          </w:p>
        </w:tc>
        <w:tc>
          <w:tcPr>
            <w:tcW w:type="dxa" w:w="1872"/>
          </w:tcPr>
          <w:p>
            <w:r>
              <w:rPr>
                <w:sz w:val="18"/>
              </w:rPr>
              <w:t>Mediana</w:t>
            </w:r>
          </w:p>
        </w:tc>
        <w:tc>
          <w:tcPr>
            <w:tcW w:type="dxa" w:w="1872"/>
          </w:tcPr>
          <w:p>
            <w:r>
              <w:rPr>
                <w:sz w:val="18"/>
              </w:rPr>
              <w:t>int, float</w:t>
            </w:r>
          </w:p>
        </w:tc>
        <w:tc>
          <w:tcPr>
            <w:tcW w:type="dxa" w:w="1872"/>
          </w:tcPr>
          <w:p>
            <w:r>
              <w:rPr>
                <w:sz w:val="18"/>
              </w:rPr>
              <w:t>SimpleImputer(strategy='median')</w:t>
            </w:r>
          </w:p>
        </w:tc>
        <w:tc>
          <w:tcPr>
            <w:tcW w:type="dxa" w:w="1872"/>
          </w:tcPr>
          <w:p>
            <w:r>
              <w:rPr>
                <w:sz w:val="18"/>
              </w:rPr>
              <w:t>O(n log n)</w:t>
            </w:r>
          </w:p>
        </w:tc>
      </w:tr>
      <w:tr>
        <w:tc>
          <w:tcPr>
            <w:tcW w:type="dxa" w:w="1872"/>
          </w:tcPr>
          <w:p>
            <w:r>
              <w:rPr>
                <w:sz w:val="18"/>
              </w:rPr>
              <w:t>03</w:t>
            </w:r>
          </w:p>
        </w:tc>
        <w:tc>
          <w:tcPr>
            <w:tcW w:type="dxa" w:w="1872"/>
          </w:tcPr>
          <w:p>
            <w:r>
              <w:rPr>
                <w:sz w:val="18"/>
              </w:rPr>
              <w:t>Moda</w:t>
            </w:r>
          </w:p>
        </w:tc>
        <w:tc>
          <w:tcPr>
            <w:tcW w:type="dxa" w:w="1872"/>
          </w:tcPr>
          <w:p>
            <w:r>
              <w:rPr>
                <w:sz w:val="18"/>
              </w:rPr>
              <w:t>int, float, categ.</w:t>
            </w:r>
          </w:p>
        </w:tc>
        <w:tc>
          <w:tcPr>
            <w:tcW w:type="dxa" w:w="1872"/>
          </w:tcPr>
          <w:p>
            <w:r>
              <w:rPr>
                <w:sz w:val="18"/>
              </w:rPr>
              <w:t>pandas.Series.mode()</w:t>
            </w:r>
          </w:p>
        </w:tc>
        <w:tc>
          <w:tcPr>
            <w:tcW w:type="dxa" w:w="1872"/>
          </w:tcPr>
          <w:p>
            <w:r>
              <w:rPr>
                <w:sz w:val="18"/>
              </w:rPr>
              <w:t>O(n)</w:t>
            </w:r>
          </w:p>
        </w:tc>
      </w:tr>
      <w:tr>
        <w:tc>
          <w:tcPr>
            <w:tcW w:type="dxa" w:w="1872"/>
          </w:tcPr>
          <w:p>
            <w:r>
              <w:rPr>
                <w:sz w:val="18"/>
              </w:rPr>
              <w:t>04</w:t>
            </w:r>
          </w:p>
        </w:tc>
        <w:tc>
          <w:tcPr>
            <w:tcW w:type="dxa" w:w="1872"/>
          </w:tcPr>
          <w:p>
            <w:r>
              <w:rPr>
                <w:sz w:val="18"/>
              </w:rPr>
              <w:t>Interpolación Lineal</w:t>
            </w:r>
          </w:p>
        </w:tc>
        <w:tc>
          <w:tcPr>
            <w:tcW w:type="dxa" w:w="1872"/>
          </w:tcPr>
          <w:p>
            <w:r>
              <w:rPr>
                <w:sz w:val="18"/>
              </w:rPr>
              <w:t>int, float</w:t>
            </w:r>
          </w:p>
        </w:tc>
        <w:tc>
          <w:tcPr>
            <w:tcW w:type="dxa" w:w="1872"/>
          </w:tcPr>
          <w:p>
            <w:r>
              <w:rPr>
                <w:sz w:val="18"/>
              </w:rPr>
              <w:t>pandas.interpolate(method='linear')</w:t>
            </w:r>
          </w:p>
        </w:tc>
        <w:tc>
          <w:tcPr>
            <w:tcW w:type="dxa" w:w="1872"/>
          </w:tcPr>
          <w:p>
            <w:r>
              <w:rPr>
                <w:sz w:val="18"/>
              </w:rPr>
              <w:t>O(n)</w:t>
            </w:r>
          </w:p>
        </w:tc>
      </w:tr>
      <w:tr>
        <w:tc>
          <w:tcPr>
            <w:tcW w:type="dxa" w:w="1872"/>
          </w:tcPr>
          <w:p>
            <w:r>
              <w:rPr>
                <w:sz w:val="18"/>
              </w:rPr>
              <w:t>05</w:t>
            </w:r>
          </w:p>
        </w:tc>
        <w:tc>
          <w:tcPr>
            <w:tcW w:type="dxa" w:w="1872"/>
          </w:tcPr>
          <w:p>
            <w:r>
              <w:rPr>
                <w:sz w:val="18"/>
              </w:rPr>
              <w:t>KNN Imputación</w:t>
            </w:r>
          </w:p>
        </w:tc>
        <w:tc>
          <w:tcPr>
            <w:tcW w:type="dxa" w:w="1872"/>
          </w:tcPr>
          <w:p>
            <w:r>
              <w:rPr>
                <w:sz w:val="18"/>
              </w:rPr>
              <w:t>int, float</w:t>
            </w:r>
          </w:p>
        </w:tc>
        <w:tc>
          <w:tcPr>
            <w:tcW w:type="dxa" w:w="1872"/>
          </w:tcPr>
          <w:p>
            <w:r>
              <w:rPr>
                <w:sz w:val="18"/>
              </w:rPr>
              <w:t>KNNImputer(n_neighbors=k)</w:t>
            </w:r>
          </w:p>
        </w:tc>
        <w:tc>
          <w:tcPr>
            <w:tcW w:type="dxa" w:w="1872"/>
          </w:tcPr>
          <w:p>
            <w:r>
              <w:rPr>
                <w:sz w:val="18"/>
              </w:rPr>
              <w:t>O(n²·m)</w:t>
            </w:r>
          </w:p>
        </w:tc>
      </w:tr>
      <w:tr>
        <w:tc>
          <w:tcPr>
            <w:tcW w:type="dxa" w:w="1872"/>
            <w:shd w:val="clear" w:color="auto" w:fill="f5f3ff"/>
          </w:tcPr>
          <w:p>
            <w:r>
              <w:rPr>
                <w:sz w:val="18"/>
              </w:rPr>
              <w:t>06</w:t>
            </w:r>
          </w:p>
        </w:tc>
        <w:tc>
          <w:tcPr>
            <w:tcW w:type="dxa" w:w="1872"/>
            <w:shd w:val="clear" w:color="auto" w:fill="f5f3ff"/>
          </w:tcPr>
          <w:p>
            <w:r>
              <w:rPr>
                <w:sz w:val="18"/>
              </w:rPr>
              <w:t>Regresión Lineal</w:t>
            </w:r>
          </w:p>
        </w:tc>
        <w:tc>
          <w:tcPr>
            <w:tcW w:type="dxa" w:w="1872"/>
            <w:shd w:val="clear" w:color="auto" w:fill="f5f3ff"/>
          </w:tcPr>
          <w:p>
            <w:r>
              <w:rPr>
                <w:sz w:val="18"/>
              </w:rPr>
              <w:t>int, float</w:t>
            </w:r>
          </w:p>
        </w:tc>
        <w:tc>
          <w:tcPr>
            <w:tcW w:type="dxa" w:w="1872"/>
            <w:shd w:val="clear" w:color="auto" w:fill="f5f3ff"/>
          </w:tcPr>
          <w:p>
            <w:r>
              <w:rPr>
                <w:sz w:val="18"/>
              </w:rPr>
              <w:t>IterativeImputer + LinearRegression</w:t>
            </w:r>
          </w:p>
        </w:tc>
        <w:tc>
          <w:tcPr>
            <w:tcW w:type="dxa" w:w="1872"/>
            <w:shd w:val="clear" w:color="auto" w:fill="f5f3ff"/>
          </w:tcPr>
          <w:p>
            <w:r>
              <w:rPr>
                <w:sz w:val="18"/>
              </w:rPr>
              <w:t>O(n·m)</w:t>
            </w:r>
          </w:p>
        </w:tc>
      </w:tr>
      <w:tr>
        <w:tc>
          <w:tcPr>
            <w:tcW w:type="dxa" w:w="1872"/>
            <w:shd w:val="clear" w:color="auto" w:fill="f5f3ff"/>
          </w:tcPr>
          <w:p>
            <w:r>
              <w:rPr>
                <w:sz w:val="18"/>
              </w:rPr>
              <w:t>07</w:t>
            </w:r>
          </w:p>
        </w:tc>
        <w:tc>
          <w:tcPr>
            <w:tcW w:type="dxa" w:w="1872"/>
            <w:shd w:val="clear" w:color="auto" w:fill="f5f3ff"/>
          </w:tcPr>
          <w:p>
            <w:r>
              <w:rPr>
                <w:sz w:val="18"/>
              </w:rPr>
              <w:t>Árbol de Decisión</w:t>
            </w:r>
          </w:p>
        </w:tc>
        <w:tc>
          <w:tcPr>
            <w:tcW w:type="dxa" w:w="1872"/>
            <w:shd w:val="clear" w:color="auto" w:fill="f5f3ff"/>
          </w:tcPr>
          <w:p>
            <w:r>
              <w:rPr>
                <w:sz w:val="18"/>
              </w:rPr>
              <w:t>int, float</w:t>
            </w:r>
          </w:p>
        </w:tc>
        <w:tc>
          <w:tcPr>
            <w:tcW w:type="dxa" w:w="1872"/>
            <w:shd w:val="clear" w:color="auto" w:fill="f5f3ff"/>
          </w:tcPr>
          <w:p>
            <w:r>
              <w:rPr>
                <w:sz w:val="18"/>
              </w:rPr>
              <w:t>IterativeImputer + DecisionTreeReg.</w:t>
            </w:r>
          </w:p>
        </w:tc>
        <w:tc>
          <w:tcPr>
            <w:tcW w:type="dxa" w:w="1872"/>
            <w:shd w:val="clear" w:color="auto" w:fill="f5f3ff"/>
          </w:tcPr>
          <w:p>
            <w:r>
              <w:rPr>
                <w:sz w:val="18"/>
              </w:rPr>
              <w:t>O(n·m·log n)</w:t>
            </w:r>
          </w:p>
        </w:tc>
      </w:tr>
      <w:tr>
        <w:tc>
          <w:tcPr>
            <w:tcW w:type="dxa" w:w="1872"/>
            <w:shd w:val="clear" w:color="auto" w:fill="f5f3ff"/>
          </w:tcPr>
          <w:p>
            <w:r>
              <w:rPr>
                <w:sz w:val="18"/>
              </w:rPr>
              <w:t>08</w:t>
            </w:r>
          </w:p>
        </w:tc>
        <w:tc>
          <w:tcPr>
            <w:tcW w:type="dxa" w:w="1872"/>
            <w:shd w:val="clear" w:color="auto" w:fill="f5f3ff"/>
          </w:tcPr>
          <w:p>
            <w:r>
              <w:rPr>
                <w:sz w:val="18"/>
              </w:rPr>
              <w:t>Red Neuronal MLP</w:t>
            </w:r>
          </w:p>
        </w:tc>
        <w:tc>
          <w:tcPr>
            <w:tcW w:type="dxa" w:w="1872"/>
            <w:shd w:val="clear" w:color="auto" w:fill="f5f3ff"/>
          </w:tcPr>
          <w:p>
            <w:r>
              <w:rPr>
                <w:sz w:val="18"/>
              </w:rPr>
              <w:t>int, float</w:t>
            </w:r>
          </w:p>
        </w:tc>
        <w:tc>
          <w:tcPr>
            <w:tcW w:type="dxa" w:w="1872"/>
            <w:shd w:val="clear" w:color="auto" w:fill="f5f3ff"/>
          </w:tcPr>
          <w:p>
            <w:r>
              <w:rPr>
                <w:sz w:val="18"/>
              </w:rPr>
              <w:t>IterativeImputer + MLPRegressor</w:t>
            </w:r>
          </w:p>
        </w:tc>
        <w:tc>
          <w:tcPr>
            <w:tcW w:type="dxa" w:w="1872"/>
            <w:shd w:val="clear" w:color="auto" w:fill="f5f3ff"/>
          </w:tcPr>
          <w:p>
            <w:r>
              <w:rPr>
                <w:sz w:val="18"/>
              </w:rPr>
              <w:t>O(n·m·epochs)</w:t>
            </w:r>
          </w:p>
        </w:tc>
      </w:tr>
    </w:tbl>
    <w:p>
      <w:pPr>
        <w:spacing w:after="120"/>
      </w:pPr>
    </w:p>
    <w:p>
      <w:r>
        <w:rPr>
          <w:i/>
          <w:color w:val="64748B"/>
          <w:sz w:val="19"/>
        </w:rPr>
        <w:t>Nota: Las técnicas 06, 07 y 08 forman el grupo de Algoritmos de Machine Learning y usan el esquema MICE iterativo.</w:t>
      </w:r>
    </w:p>
    <w:p>
      <w:r>
        <w:br w:type="page"/>
      </w:r>
    </w:p>
    <w:p>
      <w:pPr>
        <w:pStyle w:val="Heading1"/>
        <w:spacing w:before="320" w:after="120"/>
        <w:pBdr>
          <w:top w:val="single" w:sz="12" w:space="4" w:color="0ea5e9"/>
        </w:pBdr>
      </w:pPr>
      <w:r>
        <w:rPr>
          <w:color w:val="0C4A6E"/>
          <w:sz w:val="36"/>
        </w:rPr>
        <w:t>9. Glosario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c4a6e"/>
          </w:tcPr>
          <w:p>
            <w:r>
              <w:rPr>
                <w:b/>
                <w:color w:val="FFFFFF"/>
                <w:sz w:val="20"/>
              </w:rPr>
              <w:t>Término</w:t>
            </w:r>
          </w:p>
        </w:tc>
        <w:tc>
          <w:tcPr>
            <w:tcW w:type="dxa" w:w="4680"/>
            <w:shd w:val="clear" w:color="auto" w:fill="0c4a6e"/>
          </w:tcPr>
          <w:p>
            <w:r>
              <w:rPr>
                <w:b/>
                <w:color w:val="FFFFFF"/>
                <w:sz w:val="20"/>
              </w:rPr>
              <w:t>Definición</w:t>
            </w:r>
          </w:p>
        </w:tc>
      </w:tr>
      <w:tr>
        <w:tc>
          <w:tcPr>
            <w:tcW w:type="dxa" w:w="4680"/>
          </w:tcPr>
          <w:p>
            <w:r>
              <w:rPr>
                <w:sz w:val="20"/>
              </w:rPr>
              <w:t>NaN / Nulo</w:t>
            </w:r>
          </w:p>
        </w:tc>
        <w:tc>
          <w:tcPr>
            <w:tcW w:type="dxa" w:w="4680"/>
          </w:tcPr>
          <w:p>
            <w:r>
              <w:rPr>
                <w:sz w:val="20"/>
              </w:rPr>
              <w:t>Valor faltante o ausente en el dataset (Not a Number).</w:t>
            </w:r>
          </w:p>
        </w:tc>
      </w:tr>
      <w:tr>
        <w:tc>
          <w:tcPr>
            <w:tcW w:type="dxa" w:w="4680"/>
          </w:tcPr>
          <w:p>
            <w:r>
              <w:rPr>
                <w:sz w:val="20"/>
              </w:rPr>
              <w:t>Imputación</w:t>
            </w:r>
          </w:p>
        </w:tc>
        <w:tc>
          <w:tcPr>
            <w:tcW w:type="dxa" w:w="4680"/>
          </w:tcPr>
          <w:p>
            <w:r>
              <w:rPr>
                <w:sz w:val="20"/>
              </w:rPr>
              <w:t>Proceso de estimar y rellenar los valores faltantes con un valor calculado.</w:t>
            </w:r>
          </w:p>
        </w:tc>
      </w:tr>
      <w:tr>
        <w:tc>
          <w:tcPr>
            <w:tcW w:type="dxa" w:w="4680"/>
          </w:tcPr>
          <w:p>
            <w:r>
              <w:rPr>
                <w:sz w:val="20"/>
              </w:rPr>
              <w:t>MICE</w:t>
            </w:r>
          </w:p>
        </w:tc>
        <w:tc>
          <w:tcPr>
            <w:tcW w:type="dxa" w:w="4680"/>
          </w:tcPr>
          <w:p>
            <w:r>
              <w:rPr>
                <w:sz w:val="20"/>
              </w:rPr>
              <w:t>Multiple Imputation by Chained Equations — método iterativo que modela cada columna con nulos como función de las demás.</w:t>
            </w:r>
          </w:p>
        </w:tc>
      </w:tr>
      <w:tr>
        <w:tc>
          <w:tcPr>
            <w:tcW w:type="dxa" w:w="4680"/>
          </w:tcPr>
          <w:p>
            <w:r>
              <w:rPr>
                <w:sz w:val="20"/>
              </w:rPr>
              <w:t>KNN</w:t>
            </w:r>
          </w:p>
        </w:tc>
        <w:tc>
          <w:tcPr>
            <w:tcW w:type="dxa" w:w="4680"/>
          </w:tcPr>
          <w:p>
            <w:r>
              <w:rPr>
                <w:sz w:val="20"/>
              </w:rPr>
              <w:t>K-Nearest Neighbors — algoritmo que usa los K registros más parecidos para estimar el valor faltante.</w:t>
            </w:r>
          </w:p>
        </w:tc>
      </w:tr>
      <w:tr>
        <w:tc>
          <w:tcPr>
            <w:tcW w:type="dxa" w:w="4680"/>
          </w:tcPr>
          <w:p>
            <w:r>
              <w:rPr>
                <w:sz w:val="20"/>
              </w:rPr>
              <w:t>MLP</w:t>
            </w:r>
          </w:p>
        </w:tc>
        <w:tc>
          <w:tcPr>
            <w:tcW w:type="dxa" w:w="4680"/>
          </w:tcPr>
          <w:p>
            <w:r>
              <w:rPr>
                <w:sz w:val="20"/>
              </w:rPr>
              <w:t>Multilayer Perceptron — red neuronal artificial con capas ocultas y función de activación no lineal.</w:t>
            </w:r>
          </w:p>
        </w:tc>
      </w:tr>
      <w:tr>
        <w:tc>
          <w:tcPr>
            <w:tcW w:type="dxa" w:w="4680"/>
          </w:tcPr>
          <w:p>
            <w:r>
              <w:rPr>
                <w:sz w:val="20"/>
              </w:rPr>
              <w:t>ReLU</w:t>
            </w:r>
          </w:p>
        </w:tc>
        <w:tc>
          <w:tcPr>
            <w:tcW w:type="dxa" w:w="4680"/>
          </w:tcPr>
          <w:p>
            <w:r>
              <w:rPr>
                <w:sz w:val="20"/>
              </w:rPr>
              <w:t>Rectified Linear Unit — función de activación: max(0, z). Usada en las capas ocultas del MLP.</w:t>
            </w:r>
          </w:p>
        </w:tc>
      </w:tr>
      <w:tr>
        <w:tc>
          <w:tcPr>
            <w:tcW w:type="dxa" w:w="4680"/>
          </w:tcPr>
          <w:p>
            <w:r>
              <w:rPr>
                <w:sz w:val="20"/>
              </w:rPr>
              <w:t>MSE</w:t>
            </w:r>
          </w:p>
        </w:tc>
        <w:tc>
          <w:tcPr>
            <w:tcW w:type="dxa" w:w="4680"/>
          </w:tcPr>
          <w:p>
            <w:r>
              <w:rPr>
                <w:sz w:val="20"/>
              </w:rPr>
              <w:t>Mean Squared Error — error cuadrático medio, criterio de partición del Árbol de Decisión.</w:t>
            </w:r>
          </w:p>
        </w:tc>
      </w:tr>
      <w:tr>
        <w:tc>
          <w:tcPr>
            <w:tcW w:type="dxa" w:w="4680"/>
          </w:tcPr>
          <w:p>
            <w:r>
              <w:rPr>
                <w:sz w:val="20"/>
              </w:rPr>
              <w:t>Completitud</w:t>
            </w:r>
          </w:p>
        </w:tc>
        <w:tc>
          <w:tcPr>
            <w:tcW w:type="dxa" w:w="4680"/>
          </w:tcPr>
          <w:p>
            <w:r>
              <w:rPr>
                <w:sz w:val="20"/>
              </w:rPr>
              <w:t>Porcentaje de celdas con valor presente respecto al total de celdas del dataset.</w:t>
            </w:r>
          </w:p>
        </w:tc>
      </w:tr>
      <w:tr>
        <w:tc>
          <w:tcPr>
            <w:tcW w:type="dxa" w:w="4680"/>
          </w:tcPr>
          <w:p>
            <w:r>
              <w:rPr>
                <w:sz w:val="20"/>
              </w:rPr>
              <w:t>Heatmap</w:t>
            </w:r>
          </w:p>
        </w:tc>
        <w:tc>
          <w:tcPr>
            <w:tcW w:type="dxa" w:w="4680"/>
          </w:tcPr>
          <w:p>
            <w:r>
              <w:rPr>
                <w:sz w:val="20"/>
              </w:rPr>
              <w:t>Mapa de calor que visualiza la presencia o ausencia de valores en cada celda del dataset.</w:t>
            </w:r>
          </w:p>
        </w:tc>
      </w:tr>
      <w:tr>
        <w:tc>
          <w:tcPr>
            <w:tcW w:type="dxa" w:w="4680"/>
          </w:tcPr>
          <w:p>
            <w:r>
              <w:rPr>
                <w:sz w:val="20"/>
              </w:rPr>
              <w:t>SPA</w:t>
            </w:r>
          </w:p>
        </w:tc>
        <w:tc>
          <w:tcPr>
            <w:tcW w:type="dxa" w:w="4680"/>
          </w:tcPr>
          <w:p>
            <w:r>
              <w:rPr>
                <w:sz w:val="20"/>
              </w:rPr>
              <w:t>Single Page Application — aplicación web de una sola página que actualiza el contenido sin recargar.</w:t>
            </w:r>
          </w:p>
        </w:tc>
      </w:tr>
    </w:tbl>
    <w:p>
      <w:r>
        <w:br w:type="page"/>
      </w:r>
    </w:p>
    <w:p>
      <w:pPr>
        <w:jc w:val="center"/>
        <w:pBdr>
          <w:top w:val="single" w:sz="12" w:space="4" w:color="0ea5e9"/>
        </w:pBdr>
      </w:pPr>
      <w:r>
        <w:rPr>
          <w:color w:val="0EA5E9"/>
          <w:sz w:val="20"/>
        </w:rPr>
        <w:t>DataClean Pro · Manual de Usuario · Versión 1.0</w:t>
      </w:r>
    </w:p>
    <w:p>
      <w:pPr>
        <w:jc w:val="center"/>
      </w:pPr>
      <w:r>
        <w:rPr>
          <w:color w:val="64748B"/>
          <w:sz w:val="20"/>
        </w:rPr>
        <w:t>Sergio Osorio  &amp;  Cesar Villanueva  ·  Análisis de Datos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