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color w:val="0F211F"/>
          <w:sz w:val="36"/>
        </w:rPr>
        <w:t>CASOS DE PRUEBA Y EVIDENCIA DE SU EJECUCIÓN</w:t>
      </w:r>
    </w:p>
    <w:p>
      <w:pPr>
        <w:spacing w:after="40" w:before="0"/>
        <w:jc w:val="center"/>
      </w:pPr>
      <w:r>
        <w:rPr>
          <w:b w:val="0"/>
          <w:color w:val="0D7D74"/>
          <w:sz w:val="24"/>
        </w:rPr>
        <w:t>Plataforma HAMPIQ — Pruebas funcionales automatizadas con Selenium</w:t>
      </w:r>
    </w:p>
    <w:p>
      <w:pPr>
        <w:spacing w:after="200" w:before="0"/>
        <w:jc w:val="center"/>
      </w:pPr>
      <w:r>
        <w:rPr>
          <w:b w:val="0"/>
          <w:color w:val="516160"/>
          <w:sz w:val="20"/>
        </w:rPr>
        <w:t>Grupo 5 · Facultad de Ingeniería de Sistemas e Informática · UNMSM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7F3F1"/>
          </w:tcPr>
          <w:p>
            <w:r/>
            <w:r>
              <w:rPr>
                <w:b/>
                <w:sz w:val="20"/>
              </w:rPr>
              <w:t>Sistema o aplicativo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20"/>
              </w:rPr>
              <w:t>HAMPIQ — Plataforma de interoperabilidad del historial clínico</w:t>
            </w:r>
          </w:p>
        </w:tc>
      </w:tr>
      <w:tr>
        <w:tc>
          <w:tcPr>
            <w:tcW w:type="dxa" w:w="3118"/>
            <w:shd w:val="clear" w:color="auto" w:fill="E7F3F1"/>
          </w:tcPr>
          <w:p>
            <w:r/>
            <w:r>
              <w:rPr>
                <w:b/>
                <w:sz w:val="20"/>
              </w:rPr>
              <w:t>Código del requerimiento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20"/>
              </w:rPr>
              <w:t>G5-HAMPIQ-2026</w:t>
            </w:r>
          </w:p>
        </w:tc>
      </w:tr>
    </w:tbl>
    <w:p>
      <w:pPr>
        <w:spacing w:after="40" w:before="0"/>
      </w:pPr>
      <w:r>
        <w:rPr>
          <w:b w:val="0"/>
          <w:color w:val="516160"/>
          <w:sz w:val="18"/>
        </w:rPr>
        <w:t>Herramientas: Selenium WebDriver · C# (.NET 9) · NUnit · FluentAssertions · Patrón Page Object. Cada paso describe una acción atómica del usuario y, entre paréntesis, el selector data-testid que usa la prueba. El documento contiene 10 casos automatizados y ejecutados (Parte 1) y 5 casos diseñados, pendientes de automatización (Parte 2).</w:t>
      </w:r>
    </w:p>
    <w:p>
      <w:pPr>
        <w:spacing w:after="80" w:before="160"/>
      </w:pPr>
      <w:r>
        <w:rPr>
          <w:b/>
          <w:color w:val="0D7D74"/>
          <w:sz w:val="24"/>
        </w:rPr>
        <w:t>PARTE 1 — CASOS DE PRUEBA AUTOMATIZADOS Y EJECUTADOS (10 casos)</w:t>
      </w:r>
    </w:p>
    <w:p>
      <w:pPr>
        <w:pStyle w:val="Heading1"/>
        <w:spacing w:before="200"/>
      </w:pPr>
      <w:r>
        <w:rPr>
          <w:color w:val="0F211F"/>
        </w:rPr>
        <w:t>Caso de Prueba CP-01 — Inicio de sesión del paciente (CU-02)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CP-01 — Inicio de sesión del paciente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RF-02 — Autenticación de usuario mediante DNI y contraseña.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CU-02 — Inicio de sesión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El backend (FastAPI) y el frontend (Vite) de HAMPIQ deben estar en ejecución.</w:t>
              <w:br/>
            </w:r>
            <w:r>
              <w:rPr>
                <w:b w:val="0"/>
                <w:sz w:val="20"/>
              </w:rPr>
              <w:t>Existe el paciente semilla: DNI 45872136 / contraseña hampiq123.</w:t>
              <w:br/>
            </w:r>
            <w:r>
              <w:rPr>
                <w:b w:val="0"/>
                <w:sz w:val="20"/>
              </w:rPr>
              <w:t>Navegador Chrome disponible (Selenium Manager descarga el driver).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4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38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 / Selector</w:t>
            </w:r>
          </w:p>
        </w:tc>
        <w:tc>
          <w:tcPr>
            <w:tcW w:type="dxa" w:w="1020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21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Abrir HAMPIQ en el navegador.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URL = http://localhost:5173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Se muestra la página de inicio (landing).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Pulsar el botón «Iniciar sesión».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(landing-login)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Se muestra el formulario de login.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Escribir el DNI en el campo Documento.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45872136  (login-dni)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Escribir la contraseña.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hampiq123  (login-password)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Pulsar «Ingresar».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(login-submit)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POST /api/auth/login.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que carga el panel del paciente.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(patient-dashboard, sidebar-username)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Aparece el dashboard con «Juan Carlos Pérez».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inicio de sesión exitoso — panel del paciente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1-flujo-principal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CP-01-flujo-principal-dashboard.png</w:t>
      </w:r>
    </w:p>
    <w:p>
      <w:pPr>
        <w:spacing w:after="40" w:before="80"/>
      </w:pPr>
      <w:r>
        <w:rPr>
          <w:b/>
          <w:color w:val="0D7D74"/>
          <w:sz w:val="20"/>
        </w:rPr>
        <w:t>Flujo Alterno: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4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38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 / Selector</w:t>
            </w:r>
          </w:p>
        </w:tc>
        <w:tc>
          <w:tcPr>
            <w:tcW w:type="dxa" w:w="1020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21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Abrir HAMPIQ y pulsar «Iniciar sesión».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(landing-login)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Escribir el DNI.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45872136  (login-dni)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Escribir una contraseña incorrecta.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claveIncorrecta  (login-password)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Pulsar «Ingresar».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(login-submit)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POST /api/auth/login → 401.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el mensaje de error.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(login-error)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«DNI o contraseña incorrectos.» y NO autentica.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credenciales inválidas — mensaje de 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1-flujo-alterno-err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CP-01-flujo-alterno-error.png</w:t>
      </w:r>
    </w:p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Caso de Prueba CP-02 — Generación de token médico temporal (CU-03)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CP-02 — Generación de token médico temporal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RF-03 — Generación de token de acceso temporal con TTL y usos limitados.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CU-03 — Generación y gestión de token médico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El paciente debe estar autenticado (DNI 45872136 / hampiq123).</w:t>
              <w:br/>
            </w:r>
            <w:r>
              <w:rPr>
                <w:b w:val="0"/>
                <w:sz w:val="20"/>
              </w:rPr>
              <w:t>El backend y el frontend deben estar en ejecución.</w:t>
              <w:br/>
            </w:r>
            <w:r>
              <w:rPr>
                <w:b w:val="0"/>
                <w:sz w:val="20"/>
              </w:rPr>
              <w:t>El módulo «Compartir acceso» disponible.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4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38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 / Selector</w:t>
            </w:r>
          </w:p>
        </w:tc>
        <w:tc>
          <w:tcPr>
            <w:tcW w:type="dxa" w:w="1020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21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Iniciar sesión como paciente.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45872136 / hampiq123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Llega al panel del paciente (ver CP-01).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Abrir «Compartir acceso» en el menú lateral.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(nav-share)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Se muestra el configurador de token.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Seleccionar la duración del acceso.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30 min  (share-duration-30)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La opción queda resaltada.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Seleccionar el número de usos.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1 uso  (share-uses-1)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La opción queda resaltada.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Pulsar «Generar token».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(share-generate)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POST /api/tokens.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el toast de confirmación.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(toast)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«Token generado y almacenado con TTL.»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el código y su formato.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(share-token-code)</w:t>
              <w:br/>
            </w:r>
            <w:r>
              <w:rPr>
                <w:b w:val="0"/>
                <w:sz w:val="18"/>
              </w:rPr>
              <w:t>Regex ^HMPQ-[A-Z0-9]{4}-[A-Z0-9]{4}$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Ej.: HMPQ-RVF4-CV35 · Vigencia 30:00 · 1/1 usos.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token generado con formato HMPQ-XXXX-XXXX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2-flujo-principal-tok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CP-02-flujo-principal-token.png</w:t>
      </w:r>
    </w:p>
    <w:p>
      <w:pPr>
        <w:spacing w:after="40" w:before="80"/>
      </w:pPr>
      <w:r>
        <w:rPr>
          <w:b/>
          <w:color w:val="0D7D74"/>
          <w:sz w:val="20"/>
        </w:rPr>
        <w:t>Flujo Alterno: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4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38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 / Selector</w:t>
            </w:r>
          </w:p>
        </w:tc>
        <w:tc>
          <w:tcPr>
            <w:tcW w:type="dxa" w:w="1020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21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FA1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Revocar el token recién generado.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Botón «Revocar»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Cubierto y automatizado en el caso CP-07.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FA2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Token expirado o con usos agotados.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TTL vencido / usos = 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Al validarlo el médico, el sistema lo rechaza (CU-04).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Caso de Prueba CP-03 — Modo emergencia: acceso a datos vitales (CU-05)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CP-03 — Modo emergencia: acceso a datos vitales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RF-05 — Acceso de emergencia a datos vitales por QR/código, sin login.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CU-05 — Modo emergencia (QR / código)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El backend debe correr con HAMPIQ_DEMO_EMERGENCY=1 (habilita el escaneo QR de demostración).</w:t>
              <w:br/>
            </w:r>
            <w:r>
              <w:rPr>
                <w:b w:val="0"/>
                <w:sz w:val="20"/>
              </w:rPr>
              <w:t>No requiere autenticación (pantalla previa al login).</w:t>
              <w:br/>
            </w:r>
            <w:r>
              <w:rPr>
                <w:b w:val="0"/>
                <w:sz w:val="20"/>
              </w:rPr>
              <w:t>El frontend debe estar en ejecución.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4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38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 / Selector</w:t>
            </w:r>
          </w:p>
        </w:tc>
        <w:tc>
          <w:tcPr>
            <w:tcW w:type="dxa" w:w="1020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21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Abrir HAMPIQ (landing).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URL = http://localhost:5173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Pulsar «🚑 Emergencia».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(landing-emergency)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Abre la pantalla de emergencia (acceso restringido).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Pulsar «Simular escaneo de QR».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(emg-scan)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Inicia el escaneo de demostración (~1.4 s).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Esperar a que el sistema resuelva el código y lo valide.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GET /api/emergency/demo-code</w:t>
              <w:br/>
            </w:r>
            <w:r>
              <w:rPr>
                <w:b w:val="0"/>
                <w:sz w:val="18"/>
              </w:rPr>
              <w:t>→ POST /api/emergency/validate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Se carga la tarjeta de datos vitales (emg-vitals).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el grupo sanguíneo.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(emg-blood-group)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Grupo = «O+».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las alergias.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(emg-allergies)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Contiene «Penicilina». Solo se expone el subconjunto vital.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escaneo válido — solo datos vitales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3-flujo-principal-vital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CP-03-flujo-principal-vitales.png</w:t>
      </w:r>
    </w:p>
    <w:p>
      <w:pPr>
        <w:spacing w:after="40" w:before="80"/>
      </w:pPr>
      <w:r>
        <w:rPr>
          <w:b/>
          <w:color w:val="0D7D74"/>
          <w:sz w:val="20"/>
        </w:rPr>
        <w:t>Flujo Alterno: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4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38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 / Selector</w:t>
            </w:r>
          </w:p>
        </w:tc>
        <w:tc>
          <w:tcPr>
            <w:tcW w:type="dxa" w:w="1020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21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Abrir HAMPIQ y pulsar «🚑 Emergencia».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(landing-emergency)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Escribir un código de emergencia inexistente.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EMG-00000000  (emg-code)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Pulsar «Ver».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(emg-submit)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POST /api/emergency/validate → rechazado.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el mensaje de error.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(emg-error)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«Código de emergencia inválido…».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que NO se muestran datos vitales.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(emg-vitals ausente)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No se revela ningún dato del paciente.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código inválido — sin revelar datos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3-flujo-alterno-err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CP-03-flujo-alterno-error.png</w:t>
      </w:r>
    </w:p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Caso de Prueba CP-04 — Registro con validación RENIEC (CU-01)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CP-04 — Registro de paciente con validación RENIEC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RF-01 — Registro de paciente con verificación de identidad en RENIEC.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CU-01 — Registro de paciente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El backend y el frontend deben estar en ejecución. Navegador Chrome disponible.</w:t>
              <w:br/>
            </w:r>
            <w:r>
              <w:rPr>
                <w:b w:val="0"/>
                <w:sz w:val="20"/>
              </w:rPr>
              <w:t>Se valida la verificación RENIEC (idempotente), no la creación de la cuenta, para que sea re-ejecutable.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4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38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 / Selector</w:t>
            </w:r>
          </w:p>
        </w:tc>
        <w:tc>
          <w:tcPr>
            <w:tcW w:type="dxa" w:w="1020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21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Abrir HAMPIQ (landing).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URL = http://localhost:5173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Pulsar «Crear cuenta».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(landing-register)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Abre el formulario de registro.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Escribir el DNI en el campo Documento.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08456712  (reg-dni)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Pulsar «Validar».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(reg-validar)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GET /api/reniec/{dni}.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Esperar la respuesta de RENIEC.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~900 ms + red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Aparece el panel de identidad verificada.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el autocompletado de datos oficiales.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(reg-verified, reg-nombres)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«IDENTIDAD VERIFICADA»: Pedro Antonio Huamán Soto.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identidad verificada por RENIEC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4-flujo-principal-rene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CP-04-flujo-principal-renec.png</w:t>
      </w:r>
    </w:p>
    <w:p>
      <w:pPr>
        <w:spacing w:after="40" w:before="80"/>
      </w:pPr>
      <w:r>
        <w:rPr>
          <w:b/>
          <w:color w:val="0D7D74"/>
          <w:sz w:val="20"/>
        </w:rPr>
        <w:t>Flujo Alterno: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4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38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 / Selector</w:t>
            </w:r>
          </w:p>
        </w:tc>
        <w:tc>
          <w:tcPr>
            <w:tcW w:type="dxa" w:w="1020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21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Abrir HAMPIQ y pulsar «Crear cuenta».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(landing-register)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Escribir un DNI con formato inválido.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123  (reg-dni)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Pulsar «Validar».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(reg-validar)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Validación de formato en cliente.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el mensaje de error de formato.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(reg-error)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«El DNI debe tener exactamente 8 dígitos.»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DNI con formato inválido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4-flujo-alterno-err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CP-04-flujo-alterno-error.png</w:t>
      </w:r>
    </w:p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Caso de Prueba CP-05 — Inicio de sesión de Médico (CU-02)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CP-05 — Inicio de sesión de Médico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RF-02 — Autenticación y ruteo según el rol del usuario.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CU-02 — Inicio de sesión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Backend y frontend en ejecución. Médico semilla 40221785 / medico123.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4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38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 / Selector</w:t>
            </w:r>
          </w:p>
        </w:tc>
        <w:tc>
          <w:tcPr>
            <w:tcW w:type="dxa" w:w="1020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21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Abrir HAMPIQ y pulsar «Iniciar sesión».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(landing-login)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Escribir el DNI del médico.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40221785  (login-dni)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Escribir la contraseña.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medico123  (login-password)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Pulsar «Ingresar».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(login-submit)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POST /api/auth/login (rol = médico).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la pantalla de inicio del médico.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(doctor-home)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El ruteo por rol lleva a «Dra. Ana María Flores».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inicio de sesión del médico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5-login-medic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CP-05-login-medico.png</w:t>
      </w:r>
    </w:p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Caso de Prueba CP-06 — Inicio de sesión de Administrador (CU-02)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CP-06 — Inicio de sesión de Administrador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RF-02 — Autenticación y ruteo según el rol del usuario.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CU-02 — Inicio de sesión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Backend y frontend en ejecución. Administrador semilla 10000001 / admin123.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4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38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 / Selector</w:t>
            </w:r>
          </w:p>
        </w:tc>
        <w:tc>
          <w:tcPr>
            <w:tcW w:type="dxa" w:w="1020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21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Abrir HAMPIQ y pulsar «Iniciar sesión».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(landing-login)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Escribir el DNI del administrador.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10000001  (login-dni)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Escribir la contraseña.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admin123  (login-password)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Pulsar «Ingresar».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(login-submit)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POST /api/auth/login (rol = admin).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el «Panel general» del administrador.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(admin-panel)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El ruteo por rol lleva al panel de administración.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inicio de sesión del administrador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6-login-adm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CP-06-login-admin.png</w:t>
      </w:r>
    </w:p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Caso de Prueba CP-07 — Revocar token médico (CU-03)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CP-07 — Revocación de token médico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RF-04 — Revocación inmediata de un token de acceso.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CU-03 — Generación y gestión de token médico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Paciente autenticado (45872136 / hampiq123).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4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38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 / Selector</w:t>
            </w:r>
          </w:p>
        </w:tc>
        <w:tc>
          <w:tcPr>
            <w:tcW w:type="dxa" w:w="1020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21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Iniciar sesión como paciente.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45872136 / hampiq123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Ver CP-01.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Abrir «Compartir acceso».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(nav-share)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Seleccionar duración y número de usos.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30 min · 1 uso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Pulsar «Generar token».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(share-generate)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Token activo creado.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que el token se creó.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(share-token-code)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Código visible con su cuenta regresiva.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Pulsar «Revocar» en la tarjeta del token.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(share-revoke)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POST /api/tokens/{code}/revoke.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el mensaje de confirmación.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(toast)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«Token revocado. El acceso fue invalidado.»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token revocado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7-token-revocad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CP-07-token-revocado.png</w:t>
      </w:r>
    </w:p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Caso de Prueba CP-08 — Acceso del médico por token (CU-04)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CP-08 — Acceso del médico mediante token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RF-04 — Consulta del historial por el médico con un token vigente.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CU-04 — Acceso del médico mediante token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Backend y frontend en ejecución. Paciente 45872136 y médico 40221785 semilla.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4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38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 / Selector</w:t>
            </w:r>
          </w:p>
        </w:tc>
        <w:tc>
          <w:tcPr>
            <w:tcW w:type="dxa" w:w="1020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21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El paciente inicia sesión.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45872136 / hampiq123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Ver CP-01.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Abre «Compartir acceso» y genera un token.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(nav-share → share-generate)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Token activo (30 min · 1 uso).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Lee/copia el código del token generado.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(share-token-code)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Ej.: HMPQ-VJ5H-ABNR.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El paciente cierra sesión.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(logout)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Vuelve a la landing.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El médico inicia sesión.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40221785 / medico123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Llega a su pantalla de inicio.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Abre «Acceso por token».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(nav-doctor)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Se muestra el formulario de token.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Ingresa el código del token del paciente.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(doc-token)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Pulsa «Acceder al historial».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(doc-submit)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POST /api/access/validate. Descuenta un uso.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 el banner de acceso autorizado.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(doc-granted)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«Acceso autorizado al historial de Juan Carlos Pérez».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el médico accede al historial por token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8-medico-accede-histori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CP-08-medico-accede-historial.png</w:t>
      </w:r>
    </w:p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Caso de Prueba CP-09 — Buscar medicina y comparador de farmacias (soporte)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CP-09 — Buscar medicina + comparador de farmacias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RF-soporte 5.3 — Comparador de precios de medicamentos por farmacia.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Función de soporte 5.3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Paciente autenticado.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4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38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 / Selector</w:t>
            </w:r>
          </w:p>
        </w:tc>
        <w:tc>
          <w:tcPr>
            <w:tcW w:type="dxa" w:w="1020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21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Iniciar sesión como paciente.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45872136 / hampiq123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Ver CP-01.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Abrir «Buscar medicina».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(nav-medicines)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Escribir el nombre del fármaco en el buscador.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Paracetamol  (med-search)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Se filtran los resultados del catálogo.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Abrir la tarjeta del resultado.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(med-result-m3)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Se muestra el detalle del medicamento.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el comparador de farmacias.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(med-comparator)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«FARMACIAS — ORDENADAS POR PRECIO».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que se marca la más barata.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(med-cheapest)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«MÁS BARATO»: Boticas BTL (S/ 6.50).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comparador de farmacias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9-comparador-farmaci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CP-09-comparador-farmacias.png</w:t>
      </w:r>
    </w:p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Caso de Prueba CP-10 — Auditoría de accesos (soporte)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CP-10 — Auditoría de accesos del paciente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RF-soporte 5.4 — Registro inmutable (append-only) de accesos.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Función de soporte 5.4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Paciente autenticado.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4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38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 / Selector</w:t>
            </w:r>
          </w:p>
        </w:tc>
        <w:tc>
          <w:tcPr>
            <w:tcW w:type="dxa" w:w="1020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21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Iniciar sesión como paciente.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45872136 / hampiq123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Ver CP-01.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Abrir «Auditoría de accesos».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(nav-audit)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que se muestra la tabla de auditoría.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(audit-list)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Encabezados: acción, actor, dispositivo/IP, fecha.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que existe al menos un registro.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(audit-row ≥ 1)</w:t>
            </w:r>
          </w:p>
        </w:tc>
        <w:tc>
          <w:tcPr>
            <w:tcW w:type="dxa" w:w="1020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Cada fila documenta un acceso/acción.</w:t>
            </w:r>
          </w:p>
        </w:tc>
      </w:tr>
    </w:tbl>
    <w:p>
      <w:pPr>
        <w:spacing w:before="80" w:after="40"/>
      </w:pPr>
      <w:r>
        <w:rPr>
          <w:b/>
          <w:color w:val="516160"/>
          <w:sz w:val="18"/>
        </w:rPr>
        <w:t>Evidencia: auditoría de accesos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0-auditori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6160"/>
          <w:sz w:val="16"/>
        </w:rPr>
        <w:t>Captura automática generada por Selenium — CP-10-auditoria.png</w:t>
      </w:r>
    </w:p>
    <w:p>
      <w:r>
        <w:br w:type="page"/>
      </w:r>
    </w:p>
    <w:p>
      <w:pPr>
        <w:spacing w:after="40" w:before="80"/>
      </w:pPr>
      <w:r>
        <w:rPr>
          <w:b/>
          <w:color w:val="9A6700"/>
          <w:sz w:val="24"/>
        </w:rPr>
        <w:t>PARTE 2 — CASOS DE PRUEBA DOCUMENTADOS (PENDIENTES DE AUTOMATIZACIÓN)</w:t>
      </w:r>
    </w:p>
    <w:p>
      <w:pPr>
        <w:spacing w:after="120" w:before="0"/>
      </w:pPr>
      <w:r>
        <w:rPr>
          <w:b w:val="0"/>
          <w:color w:val="516160"/>
          <w:sz w:val="18"/>
        </w:rPr>
        <w:t>Estos 5 casos quedan diseñados y documentados como diseño de prueba; su automatización con Selenium se plantea como trabajo futuro. El estado «Pendiente» indica que aún no se ejecutan.</w:t>
      </w:r>
    </w:p>
    <w:p>
      <w:pPr>
        <w:pStyle w:val="Heading1"/>
        <w:spacing w:before="200"/>
      </w:pPr>
      <w:r>
        <w:rPr>
          <w:color w:val="9A6700"/>
        </w:rPr>
        <w:t>Caso de Prueba CP-11 — Registrar nota clínica (médico) (CU-06)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CP-11 — Registrar nota clínica (médico)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RF-06 — Registro de nota clínica por el médico durante el acceso autorizado.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CU-06 — Registros clínicos del médico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El médico debe tener acceso autorizado al historial (token válido vigente, ver CP-08).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9A6700"/>
          <w:sz w:val="20"/>
        </w:rPr>
        <w:t>Flujo de prueba (pendiente de automatización):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4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38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 / Selector</w:t>
            </w:r>
          </w:p>
        </w:tc>
        <w:tc>
          <w:tcPr>
            <w:tcW w:type="dxa" w:w="1020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21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Con acceso autorizado, pulsar «Registrar nota clínica».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openMedModal('nota')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Abre el modal de nota.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Seleccionar el tipo de nota.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Tipo (Consulta/…)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Obligatorio.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Ingresar el título de la nota.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Título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Obligatorio.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Ingresar el diagnóstico.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Diagnóstico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Obligatorio.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Ingresar las indicaciones (opcional).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Indicaciones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Opcional.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Guardar la nota.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guardarNota · POST /api/history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Se agrega al historial y se audita.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que aparece al inicio del historial.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Cronología clínica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Marcada «NUEVO». Por automatizar.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rPr>
          <w:color w:val="9A6700"/>
        </w:rPr>
        <w:t>Caso de Prueba CP-12 — Emitir receta electrónica (médico) (CU-06)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CP-12 — Emitir receta electrónica (médico)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RF-06 — Emisión de receta electrónica por el médico.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CU-06 — Registros clínicos del médico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El médico debe tener acceso autorizado al historial (ver CP-08).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9A6700"/>
          <w:sz w:val="20"/>
        </w:rPr>
        <w:t>Flujo de prueba (pendiente de automatización):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4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38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 / Selector</w:t>
            </w:r>
          </w:p>
        </w:tc>
        <w:tc>
          <w:tcPr>
            <w:tcW w:type="dxa" w:w="1020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21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Pulsar «Emitir receta».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openMedModal('receta')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Abre el modal de receta.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Seleccionar/ingresar el medicamento.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Medicamento (del catálogo)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Obligatorio.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Ingresar la dosis.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Dosis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Obligatorio.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Ingresar la duración (opcional).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Duración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Opcional.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Pulsar «Emitir».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emitirReceta · POST /api/recetas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que la receta queda «Vigente».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Recetas emitidas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Se audita. Por automatizar.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rPr>
          <w:color w:val="9A6700"/>
        </w:rPr>
        <w:t>Caso de Prueba CP-13 — Buscar medicina fuera de catálogo (soporte)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CP-13 — Buscar medicina fuera de catálogo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RF-soporte 5.3 — Enlace de compra para productos fuera del catálogo.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Función de soporte 5.3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Paciente autenticado.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9A6700"/>
          <w:sz w:val="20"/>
        </w:rPr>
        <w:t>Flujo de prueba (pendiente de automatización):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4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38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 / Selector</w:t>
            </w:r>
          </w:p>
        </w:tc>
        <w:tc>
          <w:tcPr>
            <w:tcW w:type="dxa" w:w="1020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21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Iniciar sesión y abrir «Buscar medicina».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(nav-medicines)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Escribir un producto que no está en el catálogo.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«Apronax»  (med-search)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que no hay comparación de precios.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Sin resultados de catálogo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el panel «Buscar en farmacias».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5 farmacias listadas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el botón «Comprar →» por farmacia.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Enlace por farmacia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Pulsar «Comprar →» y verificar el destino.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Buscador real de la farmacia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Abre la tienda con el término. Por automatizar.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rPr>
          <w:color w:val="9A6700"/>
        </w:rPr>
        <w:t>Caso de Prueba CP-14 — Tarjeta de emergencia del paciente (soporte)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CP-14 — Tarjeta de emergencia del paciente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RF-soporte 5.2 — El paciente visualiza su QR/código de emergencia.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Función de soporte 5.2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Paciente autenticado.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9A6700"/>
          <w:sz w:val="20"/>
        </w:rPr>
        <w:t>Flujo de prueba (pendiente de automatización):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4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38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 / Selector</w:t>
            </w:r>
          </w:p>
        </w:tc>
        <w:tc>
          <w:tcPr>
            <w:tcW w:type="dxa" w:w="1020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21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Iniciar sesión como paciente.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45872136 / hampiq123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Ver CP-01.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Abrir «Tarjeta de emergencia».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(nav-card)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el QR de emergencia.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QR del paciente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el código de emergencia.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Código EMG-XXXXXXXX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Aleatorio por paciente.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el resumen de datos vitales.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Grupo, alergias, contacto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Por automatizar.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rPr>
          <w:color w:val="9A6700"/>
        </w:rPr>
        <w:t>Caso de Prueba CP-15 — Cerrar sesión de un dispositivo (seguridad)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CP-15 — Cerrar sesión de un dispositivo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Requisito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RF-soporte 5.5 — Gestión de sesiones activas por dispositivo.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Caso de Uso Asociado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Función de soporte 5.5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Condición(es) de Prueba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Paciente autenticado con más de una sesión activa.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Probador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Grupo 5</w:t>
            </w:r>
          </w:p>
        </w:tc>
      </w:tr>
      <w:tr>
        <w:tc>
          <w:tcPr>
            <w:tcW w:type="dxa" w:w="2835"/>
            <w:shd w:val="clear" w:color="auto" w:fill="E7F3F1"/>
          </w:tcPr>
          <w:p>
            <w:r/>
            <w:r>
              <w:rPr>
                <w:b/>
                <w:sz w:val="20"/>
              </w:rPr>
              <w:t>Cargo / Fecha y Hora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Equipo de QA — Grupo 5     ·     29/06/2026  11:10 a. m.</w:t>
            </w:r>
          </w:p>
        </w:tc>
      </w:tr>
    </w:tbl>
    <w:p>
      <w:pPr>
        <w:spacing w:after="40" w:before="80"/>
      </w:pPr>
      <w:r>
        <w:rPr>
          <w:b/>
          <w:color w:val="9A6700"/>
          <w:sz w:val="20"/>
        </w:rPr>
        <w:t>Flujo de prueba (pendiente de automatización):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34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Instrucción</w:t>
            </w:r>
          </w:p>
        </w:tc>
        <w:tc>
          <w:tcPr>
            <w:tcW w:type="dxa" w:w="238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Datos / Selector</w:t>
            </w:r>
          </w:p>
        </w:tc>
        <w:tc>
          <w:tcPr>
            <w:tcW w:type="dxa" w:w="1020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21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Observaciones / Evidencia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Iniciar sesión como paciente.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45872136 / hampiq123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Ver CP-01.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Abrir «Auditoría de accesos» / «Mi perfil».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Sesiones y dispositivos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Identificar una sesión en otro dispositivo.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Dispositivo distinto al actual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Pulsar «Cerrar sesión» en ese dispositivo.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cerrarSesionDisp · DELETE /api/sessions/{id}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que la sesión actual no se puede cerrar.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Sesión «ESTE DISPOSITIVO»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No ofrece el botón.</w:t>
            </w:r>
          </w:p>
        </w:tc>
      </w:tr>
      <w:tr>
        <w:tc>
          <w:tcPr>
            <w:tcW w:type="dxa" w:w="62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Verificar que el dispositivo desaparece de la lista.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Lista de sesiones</w:t>
            </w:r>
          </w:p>
        </w:tc>
        <w:tc>
          <w:tcPr>
            <w:tcW w:type="dxa" w:w="1020"/>
            <w:shd w:val="clear" w:color="auto" w:fill="FFF7E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Por automatizar.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rPr>
          <w:color w:val="0F211F"/>
        </w:rPr>
        <w:t>Resumen de ejecución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5102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Caso / Prueba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Tipo de flujo</w:t>
            </w:r>
          </w:p>
        </w:tc>
        <w:tc>
          <w:tcPr>
            <w:tcW w:type="dxa" w:w="2268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CP-01 · Login válido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CP-01 · Login inválido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Alterno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CP-02 · Generar token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CP-03 · Escaneo QR (datos vitales)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CP-03 · Código inválido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Alterno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CP-04 · Validación RENIEC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CP-04 · DNI inválido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Alterno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CP-05 · Login médico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CP-06 · Login administrador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CP-07 · Revocar token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CP-08 · Médico accede por token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CP-09 · Comparador de farmacias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CP-10 · Auditoría de accesos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268"/>
            <w:shd w:val="clear" w:color="auto" w:fill="E7F3F1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Correcto</w:t>
            </w:r>
          </w:p>
        </w:tc>
      </w:tr>
    </w:tbl>
    <w:p>
      <w:pPr>
        <w:spacing w:after="40" w:before="80"/>
      </w:pPr>
      <w:r>
        <w:rPr>
          <w:b/>
          <w:color w:val="0D7D74"/>
          <w:sz w:val="20"/>
        </w:rPr>
        <w:t>Parte 1: 13 pruebas automatizadas ejecutadas · 13 correctas · 0 incorrectas (10 casos).</w:t>
      </w:r>
    </w:p>
    <w:p>
      <w:pPr>
        <w:spacing w:after="160" w:before="0"/>
      </w:pPr>
      <w:r>
        <w:rPr>
          <w:b/>
          <w:color w:val="9A6700"/>
          <w:sz w:val="20"/>
        </w:rPr>
        <w:t>Parte 2: 5 casos documentados (CP-11 a CP-15), pendientes de automatización.</w:t>
      </w:r>
    </w:p>
    <w:p>
      <w:pPr>
        <w:pStyle w:val="Heading1"/>
        <w:spacing w:before="200"/>
      </w:pPr>
      <w:r>
        <w:rPr>
          <w:color w:val="0F211F"/>
        </w:rPr>
        <w:t>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964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1417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4819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Descripción del cambio</w:t>
            </w:r>
          </w:p>
        </w:tc>
        <w:tc>
          <w:tcPr>
            <w:tcW w:type="dxa" w:w="1701"/>
            <w:shd w:val="clear" w:color="auto" w:fill="0F211F"/>
          </w:tcPr>
          <w:p>
            <w:r/>
            <w:r>
              <w:rPr>
                <w:b/>
                <w:color w:val="FFFFFF"/>
                <w:sz w:val="20"/>
              </w:rPr>
              <w:t>Responsable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29/06/2026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Creación del documento y automatización de los casos CP-01, CP-02 y CP-03 con Selenium + NUnit.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Grupo 5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29/06/2026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Se agregan los casos CP-04 a CP-10 (automatizados, 10 casos) y se documentan CP-11 a CP-15 como pendientes de automatización.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Grupo 5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3.0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29/06/2026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Mayor granularidad: cada paso describe una acción atómica del usuario e indica su selector data-testid.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Grupo 5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16160"/>
        <w:sz w:val="16"/>
      </w:rPr>
      <w:t>Grupo 5 · Universidad Nacional Mayor de San Marcos · Proyecto HAMPIQ v1.0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819"/>
      <w:gridCol w:w="4819"/>
    </w:tblGrid>
    <w:tr>
      <w:tc>
        <w:tcPr>
          <w:tcW w:type="dxa" w:w="2268"/>
        </w:tcPr>
        <w:p>
          <w:r/>
          <w:r>
            <w:rPr>
              <w:b/>
              <w:color w:val="0D7D74"/>
              <w:sz w:val="28"/>
            </w:rPr>
            <w:t>GRUPO 5</w:t>
          </w:r>
        </w:p>
      </w:tc>
      <w:tc>
        <w:tcPr>
          <w:tcW w:type="dxa" w:w="7370"/>
        </w:tcPr>
        <w:p>
          <w:pPr>
            <w:jc w:val="right"/>
          </w:pPr>
          <w:r/>
          <w:r>
            <w:rPr>
              <w:b w:val="0"/>
              <w:sz w:val="16"/>
            </w:rPr>
            <w:t>CASOS DE PRUEBA Y EVIDENCIA DE SU EJECUCIÓN — HAMPIQ</w:t>
            <w:br/>
          </w:r>
          <w:r>
            <w:rPr>
              <w:b w:val="0"/>
              <w:sz w:val="16"/>
            </w:rPr>
            <w:t>Código: G5-F-002   ·   Versión: 3   ·   Fecha: 29/06/2026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