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59.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73daa0442857baf747130801d38159e2e997dd">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synchronization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optimization across both the weight and skewness parameters proved unstable. To ensure robust and reliable convergence, the methodology was refined into a systematic one-dimensional optimization strategy. Under this approach, the copula weight was dynamically optimized while the skewness parameter was strictly discretized,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optimization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optimization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optimization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visualization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optimization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optimization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w:t>
      </w:r>
    </w:p>
    <w:bookmarkEnd w:id="83"/>
    <w:bookmarkStart w:id="84" w:name="conclusionrecommendationsfuture-work"/>
    <w:p>
      <w:pPr>
        <w:pStyle w:val="Heading1"/>
      </w:pPr>
      <w:r>
        <w:t xml:space="preserve">Conclusion/Recommendations/Future Work</w:t>
      </w:r>
    </w:p>
    <w:p>
      <w:pPr>
        <w:pStyle w:val="FirstParagraph"/>
      </w:pPr>
      <w:r>
        <w:t xml:space="preserve">This works is not aiming to provide an exact recipe but rather demonstrate that such approach is feasible and working.</w:t>
      </w:r>
    </w:p>
    <w:p>
      <w:pPr>
        <w:pStyle w:val="BodyText"/>
      </w:pPr>
      <w:r>
        <w:t xml:space="preserve">yes, copula PCA but we need to provide list of components in advance - maybe this could be done automatically.</w:t>
      </w:r>
    </w:p>
    <w:p>
      <w:pPr>
        <w:pStyle w:val="BodyText"/>
      </w:pPr>
      <w:r>
        <w:t xml:space="preserve">More robust optimisation procedure is required.</w:t>
      </w:r>
    </w:p>
    <w:p>
      <w:pPr>
        <w:pStyle w:val="BodyText"/>
      </w:pPr>
      <w:r>
        <w:t xml:space="preserve">Interesting if we could learn those copula weight timeseries directly from the market data with a neural net and if it stable enough. THis will make responsiveness much faster and weight could be adjusted on daily basis ensuring much faster response in case of crisis.</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08"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06" w:name="Xd73daa0442857baf747130801d38159e2e997dd"/>
    <w:p>
      <w:pPr>
        <w:pStyle w:val="Heading2"/>
      </w:pPr>
      <w:r>
        <w:t xml:space="preserve">Appendix C: Analysis of different VaR methodologies from 2020 to 2025</w:t>
      </w:r>
    </w:p>
    <w:bookmarkEnd w:id="106"/>
    <w:bookmarkStart w:id="107" w:name="appendix-d-code-listing"/>
    <w:p>
      <w:pPr>
        <w:pStyle w:val="Heading2"/>
      </w:pPr>
      <w:r>
        <w:t xml:space="preserve">Appendix D: Code listing</w:t>
      </w:r>
    </w:p>
    <w:bookmarkEnd w:id="107"/>
    <w:bookmarkEnd w:id="108"/>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2026-08-03T22:01:20Z</dcterms:created>
  <dcterms:modified xsi:type="dcterms:W3CDTF">2026-08-03T22:01:20Z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